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2A37"/>
          <w:sz w:val="40"/>
          <w:szCs w:val="40"/>
        </w:rPr>
        <w:t xml:space="preserve">Volunteer Onboarding &amp; Policy Toolkit</w:t>
      </w:r>
    </w:p>
    <w:p>
      <w:pPr>
        <w:spacing w:after="200"/>
      </w:pPr>
      <w:r>
        <w:rPr>
          <w:b/>
          <w:bCs/>
          <w:color w:val="6C9539"/>
          <w:sz w:val="20"/>
          <w:szCs w:val="20"/>
        </w:rPr>
        <w:t xml:space="preserve">Corporate board — role descriptions, orientation, and governing-document clauses for volunteers</w:t>
      </w:r>
    </w:p>
    <w:p>
      <w:pPr>
        <w:spacing w:after="240"/>
      </w:pPr>
      <w:r>
        <w:rPr>
          <w:sz w:val="21"/>
          <w:szCs w:val="21"/>
        </w:rPr>
        <w:t xml:space="preserve">Most volunteer problems are onboarding problems wearing a later disguise. The role was never written down, orientation was a friendly conversation, and nobody signed anything. This toolkit builds what a volunteer steps into on day one — the policy frame, the written role, the orientation, and the bylaws clauses that back them up. Work through it with your governance or people committee, download the editable Word file, or print it.</w:t>
      </w:r>
    </w:p>
    <w:p>
      <w:pPr>
        <w:spacing w:after="120" w:before="120"/>
      </w:pPr>
      <w:r>
        <w:rPr>
          <w:b/>
          <w:bCs/>
          <w:color w:val="1F2A37"/>
          <w:sz w:val="26"/>
          <w:szCs w:val="26"/>
        </w:rPr>
        <w:t xml:space="preserve">Preparation details</w:t>
      </w:r>
    </w:p>
    <w:p>
      <w:pPr>
        <w:pBdr>
          <w:bottom w:val="single" w:color="CFCFCF" w:sz="6" w:space="2"/>
        </w:pBdr>
        <w:spacing w:after="200"/>
      </w:pPr>
      <w:r>
        <w:rPr>
          <w:b/>
          <w:bCs/>
          <w:color w:val="5B6470"/>
          <w:sz w:val="18"/>
          <w:szCs w:val="18"/>
        </w:rPr>
        <w:t xml:space="preserve">Organization</w:t>
      </w:r>
    </w:p>
    <w:p>
      <w:pPr>
        <w:pBdr>
          <w:bottom w:val="single" w:color="CFCFCF" w:sz="6" w:space="2"/>
        </w:pBdr>
        <w:spacing w:after="200"/>
      </w:pPr>
      <w:r>
        <w:rPr>
          <w:b/>
          <w:bCs/>
          <w:color w:val="5B6470"/>
          <w:sz w:val="18"/>
          <w:szCs w:val="18"/>
        </w:rPr>
        <w:t xml:space="preserve">Prepared by</w:t>
      </w:r>
    </w:p>
    <w:p>
      <w:pPr>
        <w:pBdr>
          <w:bottom w:val="single" w:color="CFCFCF" w:sz="6" w:space="2"/>
        </w:pBdr>
        <w:spacing w:after="200"/>
      </w:pPr>
      <w:r>
        <w:rPr>
          <w:b/>
          <w:bCs/>
          <w:color w:val="5B6470"/>
          <w:sz w:val="18"/>
          <w:szCs w:val="18"/>
        </w:rPr>
        <w:t xml:space="preserve">Date</w:t>
      </w:r>
    </w:p>
    <w:p>
      <w:pPr>
        <w:pBdr>
          <w:bottom w:val="single" w:color="CFCFCF" w:sz="6" w:space="2"/>
        </w:pBdr>
        <w:spacing w:after="200"/>
      </w:pPr>
      <w:r>
        <w:rPr>
          <w:b/>
          <w:bCs/>
          <w:color w:val="5B6470"/>
          <w:sz w:val="18"/>
          <w:szCs w:val="18"/>
        </w:rPr>
        <w:t xml:space="preserve">Next board review date</w:t>
      </w:r>
    </w:p>
    <w:p>
      <w:pPr>
        <w:keepNext/>
        <w:spacing w:after="90" w:before="220"/>
      </w:pPr>
      <w:r>
        <w:rPr>
          <w:b/>
          <w:bCs/>
          <w:color w:val="1F2A37"/>
          <w:sz w:val="26"/>
          <w:szCs w:val="26"/>
        </w:rPr>
        <w:t xml:space="preserve">1. How to use this toolkit</w:t>
      </w:r>
    </w:p>
    <w:p>
      <w:pPr>
        <w:keepNext/>
        <w:keepLines/>
        <w:spacing w:after="140"/>
      </w:pPr>
      <w:r>
        <w:rPr>
          <w:sz w:val="21"/>
          <w:szCs w:val="21"/>
        </w:rPr>
        <w:t xml:space="preserve">This toolkit builds what a volunteer steps into on day one: a written role, a real orientation, and policies that support both. Work through it with the program or people committee. The Word version is editable, so adapt the samples rather than just printing them.</w:t>
      </w:r>
    </w:p>
    <w:p>
      <w:pPr>
        <w:keepNext/>
        <w:spacing w:after="90" w:before="220"/>
      </w:pPr>
      <w:r>
        <w:rPr>
          <w:b/>
          <w:bCs/>
          <w:color w:val="1F2A37"/>
          <w:sz w:val="26"/>
          <w:szCs w:val="26"/>
        </w:rPr>
        <w:t xml:space="preserve">2. The volunteer policy on one page</w:t>
      </w:r>
    </w:p>
    <w:p>
      <w:pPr>
        <w:keepNext/>
        <w:keepLines/>
        <w:spacing w:after="140"/>
      </w:pPr>
      <w:r>
        <w:rPr>
          <w:sz w:val="21"/>
          <w:szCs w:val="21"/>
        </w:rPr>
        <w:t xml:space="preserve">Before individual roles, write the frame: why the organization involves volunteers, which activities they cover, who supervises them, how expenses are handled, and who owns the policy. One page is enough — the discipline of fitting it on one page is what makes it used rather than filed.</w:t>
      </w:r>
    </w:p>
    <w:p>
      <w:pPr>
        <w:spacing w:after="100"/>
      </w:pPr>
      <w:r>
        <w:rPr>
          <w:sz w:val="21"/>
          <w:szCs w:val="21"/>
        </w:rPr>
        <w:t xml:space="preserve">Where the volunteer policy lives, and who owns it: ____________________________________________________________</w:t>
      </w:r>
    </w:p>
    <w:p>
      <w:pPr>
        <w:spacing w:after="100"/>
      </w:pPr>
      <w:r>
        <w:rPr>
          <w:sz w:val="21"/>
          <w:szCs w:val="21"/>
        </w:rPr>
        <w:t xml:space="preserve">Activities and programs it covers: ____________________________________________________________</w:t>
      </w:r>
    </w:p>
    <w:p>
      <w:pPr>
        <w:keepNext/>
        <w:spacing w:after="90" w:before="220"/>
      </w:pPr>
      <w:r>
        <w:rPr>
          <w:b/>
          <w:bCs/>
          <w:color w:val="1F2A37"/>
          <w:sz w:val="26"/>
          <w:szCs w:val="26"/>
        </w:rPr>
        <w:t xml:space="preserve">3. Role descriptions</w:t>
      </w:r>
    </w:p>
    <w:p>
      <w:pPr>
        <w:keepNext/>
        <w:keepLines/>
        <w:spacing w:after="140"/>
      </w:pPr>
      <w:r>
        <w:rPr>
          <w:sz w:val="21"/>
          <w:szCs w:val="21"/>
        </w:rPr>
        <w:t xml:space="preserve">Give every ongoing assignment a short written description using the template below, and have the volunteer sign it at orientation. Most disputes trace back to expectations that were never written down — and a signed description is evidence, while a verbal briefing is only a memory.</w:t>
      </w:r>
    </w:p>
    <w:p>
      <w:pPr>
        <w:spacing w:after="100"/>
      </w:pPr>
      <w:r>
        <w:rPr>
          <w:sz w:val="21"/>
          <w:szCs w:val="21"/>
        </w:rPr>
        <w:t xml:space="preserve">Roles still without a written description: ____________________________________________________________</w:t>
      </w:r>
    </w:p>
    <w:p>
      <w:pPr>
        <w:spacing w:after="100"/>
      </w:pPr>
      <w:r>
        <w:rPr>
          <w:sz w:val="21"/>
          <w:szCs w:val="21"/>
        </w:rPr>
        <w:t xml:space="preserve">Who maintains the role descriptions: ____________________________________________________________</w:t>
      </w:r>
    </w:p>
    <w:p>
      <w:pPr>
        <w:keepNext/>
        <w:spacing w:after="90" w:before="220"/>
      </w:pPr>
      <w:r>
        <w:rPr>
          <w:b/>
          <w:bCs/>
          <w:color w:val="1F2A37"/>
          <w:sz w:val="26"/>
          <w:szCs w:val="26"/>
        </w:rPr>
        <w:t xml:space="preserve">4. Screening before the first day</w:t>
      </w:r>
    </w:p>
    <w:p>
      <w:pPr>
        <w:keepNext/>
        <w:keepLines/>
        <w:spacing w:after="140"/>
      </w:pPr>
      <w:r>
        <w:rPr>
          <w:sz w:val="21"/>
          <w:szCs w:val="21"/>
        </w:rPr>
        <w:t xml:space="preserve">Complete screening before the first assignment: checks where the role touches facilities, systems, or confidential information, and a conflict-of-interest review where it advises on business matters. Screening decided under pressure after someone has started is screening skipped.</w:t>
      </w:r>
    </w:p>
    <w:p>
      <w:pPr>
        <w:spacing w:after="100"/>
      </w:pPr>
      <w:r>
        <w:rPr>
          <w:sz w:val="21"/>
          <w:szCs w:val="21"/>
        </w:rPr>
        <w:t xml:space="preserve">Screening required by role, and who reviews the results: ____________________________________________________________</w:t>
      </w:r>
    </w:p>
    <w:p>
      <w:pPr>
        <w:spacing w:after="100"/>
      </w:pPr>
      <w:r>
        <w:rPr>
          <w:sz w:val="21"/>
          <w:szCs w:val="21"/>
        </w:rPr>
        <w:t xml:space="preserve">Insurance confirmed for volunteer activity: ____________________________________________________________</w:t>
      </w:r>
    </w:p>
    <w:p>
      <w:pPr>
        <w:keepNext/>
        <w:spacing w:after="90" w:before="220"/>
      </w:pPr>
      <w:r>
        <w:rPr>
          <w:b/>
          <w:bCs/>
          <w:color w:val="1F2A37"/>
          <w:sz w:val="26"/>
          <w:szCs w:val="26"/>
        </w:rPr>
        <w:t xml:space="preserve">5. The orientation session</w:t>
      </w:r>
    </w:p>
    <w:p>
      <w:pPr>
        <w:keepNext/>
        <w:keepLines/>
        <w:spacing w:after="140"/>
      </w:pPr>
      <w:r>
        <w:rPr>
          <w:sz w:val="21"/>
          <w:szCs w:val="21"/>
        </w:rPr>
        <w:t xml:space="preserve">Use the orientation checklist below and record who covered each item and when. Cover the standards in the role description, safety and incident reporting, expense and funds-handling rules, and the escalation path — the same path volunteers will be asked to use when something goes wrong.</w:t>
      </w:r>
    </w:p>
    <w:p>
      <w:pPr>
        <w:spacing w:after="100"/>
      </w:pPr>
      <w:r>
        <w:rPr>
          <w:sz w:val="21"/>
          <w:szCs w:val="21"/>
        </w:rPr>
        <w:t xml:space="preserve">Who leads orientation, and who else participates: ____________________________________________________________</w:t>
      </w:r>
    </w:p>
    <w:p>
      <w:pPr>
        <w:spacing w:after="100"/>
      </w:pPr>
      <w:r>
        <w:rPr>
          <w:sz w:val="21"/>
          <w:szCs w:val="21"/>
        </w:rPr>
        <w:t xml:space="preserve">Date of the next scheduled orientation: ____________________________________________________________</w:t>
      </w:r>
    </w:p>
    <w:p>
      <w:pPr>
        <w:keepNext/>
        <w:spacing w:after="90" w:before="220"/>
      </w:pPr>
      <w:r>
        <w:rPr>
          <w:b/>
          <w:bCs/>
          <w:color w:val="1F2A37"/>
          <w:sz w:val="26"/>
          <w:szCs w:val="26"/>
        </w:rPr>
        <w:t xml:space="preserve">6. The first ninety days</w:t>
      </w:r>
    </w:p>
    <w:p>
      <w:pPr>
        <w:keepNext/>
        <w:keepLines/>
        <w:spacing w:after="140"/>
      </w:pPr>
      <w:r>
        <w:rPr>
          <w:sz w:val="21"/>
          <w:szCs w:val="21"/>
        </w:rPr>
        <w:t xml:space="preserve">Schedule a check-in within the first two weeks, a brief review at thirty days, and a candid conversation at ninety. The first ninety days are the cheapest time to correct an expectation or confirm a good match — do not let an early mismatch age into a dispute.</w:t>
      </w:r>
    </w:p>
    <w:p>
      <w:pPr>
        <w:spacing w:after="100"/>
      </w:pPr>
      <w:r>
        <w:rPr>
          <w:sz w:val="21"/>
          <w:szCs w:val="21"/>
        </w:rPr>
        <w:t xml:space="preserve">First check-in date: ____________________________________________________________</w:t>
      </w:r>
    </w:p>
    <w:p>
      <w:pPr>
        <w:spacing w:after="100"/>
      </w:pPr>
      <w:r>
        <w:rPr>
          <w:sz w:val="21"/>
          <w:szCs w:val="21"/>
        </w:rPr>
        <w:t xml:space="preserve">Who conducts the ninety-day conversation: ____________________________________________________________</w:t>
      </w:r>
    </w:p>
    <w:p>
      <w:pPr>
        <w:keepNext/>
        <w:spacing w:after="90" w:before="220"/>
      </w:pPr>
      <w:r>
        <w:rPr>
          <w:b/>
          <w:bCs/>
          <w:color w:val="1F2A37"/>
          <w:sz w:val="26"/>
          <w:szCs w:val="26"/>
        </w:rPr>
        <w:t xml:space="preserve">7. Standards and acknowledgments</w:t>
      </w:r>
    </w:p>
    <w:p>
      <w:pPr>
        <w:keepNext/>
        <w:keepLines/>
        <w:spacing w:after="140"/>
      </w:pPr>
      <w:r>
        <w:rPr>
          <w:sz w:val="21"/>
          <w:szCs w:val="21"/>
        </w:rPr>
        <w:t xml:space="preserve">At orientation the volunteer acknowledges in writing the standards of conduct, confidentiality, expense rules, and how concerns are raised. File the acknowledgment where it survives staff turnover. An acknowledgment at the start is governance; a standard invented after an incident is a dispute.</w:t>
      </w:r>
    </w:p>
    <w:p>
      <w:pPr>
        <w:spacing w:after="100"/>
      </w:pPr>
      <w:r>
        <w:rPr>
          <w:sz w:val="21"/>
          <w:szCs w:val="21"/>
        </w:rPr>
        <w:t xml:space="preserve">Which acknowledgments are signed at orientation: ____________________________________________________________</w:t>
      </w:r>
    </w:p>
    <w:p>
      <w:pPr>
        <w:spacing w:after="100"/>
      </w:pPr>
      <w:r>
        <w:rPr>
          <w:sz w:val="21"/>
          <w:szCs w:val="21"/>
        </w:rPr>
        <w:t xml:space="preserve">Where they are filed: ____________________________________________________________</w:t>
      </w:r>
    </w:p>
    <w:p>
      <w:pPr>
        <w:keepNext/>
        <w:spacing w:after="90" w:before="220"/>
      </w:pPr>
      <w:r>
        <w:rPr>
          <w:b/>
          <w:bCs/>
          <w:color w:val="1F2A37"/>
          <w:sz w:val="26"/>
          <w:szCs w:val="26"/>
        </w:rPr>
        <w:t xml:space="preserve">8. Bylaws and governing documents</w:t>
      </w:r>
    </w:p>
    <w:p>
      <w:pPr>
        <w:keepNext/>
        <w:keepLines/>
        <w:spacing w:after="140"/>
      </w:pPr>
      <w:r>
        <w:rPr>
          <w:sz w:val="21"/>
          <w:szCs w:val="21"/>
        </w:rPr>
        <w:t xml:space="preserve">Confirm that your governing documents actually say what the organization does in practice. Use the sample clauses below as a starting point, checked against your own state’s corporation act and charter documents, and have counsel review any amendment before it is adopted.</w:t>
      </w:r>
    </w:p>
    <w:p>
      <w:pPr>
        <w:spacing w:after="100"/>
      </w:pPr>
      <w:r>
        <w:rPr>
          <w:sz w:val="21"/>
          <w:szCs w:val="21"/>
        </w:rPr>
        <w:t xml:space="preserve">Which act governs this organization: ____________________________________________________________</w:t>
      </w:r>
    </w:p>
    <w:p>
      <w:pPr>
        <w:spacing w:after="100"/>
      </w:pPr>
      <w:r>
        <w:rPr>
          <w:sz w:val="21"/>
          <w:szCs w:val="21"/>
        </w:rPr>
        <w:t xml:space="preserve">Clauses that need confirming or amending, and by whom: ____________________________________________________________</w:t>
      </w:r>
    </w:p>
    <w:p>
      <w:pPr>
        <w:keepNext/>
        <w:spacing w:after="90" w:before="220"/>
      </w:pPr>
      <w:r>
        <w:rPr>
          <w:b/>
          <w:bCs/>
          <w:color w:val="1F2A37"/>
          <w:sz w:val="26"/>
          <w:szCs w:val="26"/>
        </w:rPr>
        <w:t xml:space="preserve">9. When things go wrong</w:t>
      </w:r>
    </w:p>
    <w:p>
      <w:pPr>
        <w:keepNext/>
        <w:keepLines/>
        <w:spacing w:after="140"/>
      </w:pPr>
      <w:r>
        <w:rPr>
          <w:sz w:val="21"/>
          <w:szCs w:val="21"/>
        </w:rPr>
        <w:t xml:space="preserve">A problem with a well-onboarded volunteer is handled with the same documents that started the relationship: the signed role description, the written standards, the documented conversations. For the graduated response, the fast track for serious misconduct, and the authority to end each kind of relationship, use the companion Volunteer Management &amp; Separation Checklist.</w:t>
      </w:r>
    </w:p>
    <w:p>
      <w:pPr>
        <w:spacing w:after="100"/>
      </w:pPr>
      <w:r>
        <w:rPr>
          <w:sz w:val="21"/>
          <w:szCs w:val="21"/>
        </w:rPr>
        <w:t xml:space="preserve">Who is notified first when a concern appears: ____________________________________________________________</w:t>
      </w:r>
    </w:p>
    <w:p>
      <w:pPr>
        <w:spacing w:after="100"/>
      </w:pPr>
      <w:r>
        <w:rPr>
          <w:sz w:val="21"/>
          <w:szCs w:val="21"/>
        </w:rPr>
        <w:t xml:space="preserve">Where the record of the first conversation is kept: ____________________________________________________________</w:t>
      </w:r>
    </w:p>
    <w:p>
      <w:pPr>
        <w:keepNext/>
        <w:spacing w:after="90" w:before="220"/>
      </w:pPr>
      <w:r>
        <w:rPr>
          <w:b/>
          <w:bCs/>
          <w:color w:val="1F2A37"/>
          <w:sz w:val="26"/>
          <w:szCs w:val="26"/>
        </w:rPr>
        <w:t xml:space="preserve">10. What the board reviews each year</w:t>
      </w:r>
    </w:p>
    <w:p>
      <w:pPr>
        <w:keepNext/>
        <w:keepLines/>
        <w:spacing w:after="140"/>
      </w:pPr>
      <w:r>
        <w:rPr>
          <w:sz w:val="21"/>
          <w:szCs w:val="21"/>
        </w:rPr>
        <w:t xml:space="preserve">The board sees volunteer numbers and turnover, orientation completion, screening exceptions, acknowledgments on file, incidents and how they were handled, and confirmation that the volunteer policy still matches the governing documents.</w:t>
      </w:r>
    </w:p>
    <w:p>
      <w:pPr>
        <w:spacing w:after="100"/>
      </w:pPr>
      <w:r>
        <w:rPr>
          <w:sz w:val="21"/>
          <w:szCs w:val="21"/>
        </w:rPr>
        <w:t xml:space="preserve">Next annual review of the volunteer policy: ____________________________________________________________</w:t>
      </w:r>
    </w:p>
    <w:p>
      <w:pPr>
        <w:spacing w:after="100"/>
      </w:pPr>
      <w:r>
        <w:rPr>
          <w:sz w:val="21"/>
          <w:szCs w:val="21"/>
        </w:rPr>
        <w:t xml:space="preserve">Items the committee will report: ____________________________________________________________</w:t>
      </w:r>
    </w:p>
    <w:p>
      <w:pPr>
        <w:keepNext/>
        <w:spacing w:after="90" w:before="220"/>
      </w:pPr>
      <w:r>
        <w:rPr>
          <w:b/>
          <w:bCs/>
          <w:color w:val="1F2A37"/>
          <w:sz w:val="26"/>
          <w:szCs w:val="26"/>
        </w:rPr>
        <w:t xml:space="preserve">Role description template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Field</w:t>
            </w:r>
          </w:p>
        </w:tc>
        <w:tc>
          <w:tcPr>
            <w:tcW w:type="dxa" w:w="67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What to write</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Title</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A plain name that matches how people actually describe the role</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Purpose</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One or two sentences on why the role exists and who it serves</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Key responsibilities</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Three to six concrete duties — this is not a job description for a paid position</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Time commitment</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Hours per week or month, seasonality, and whether the schedule is fixed or flexible</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Qualifications and screening</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Skills required, plus any background check, license, or references tied to the role</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What this role does not include</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Boundaries — decisions reserved to staff, funds handling, media contact, or work with vulnerable people</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Supervisor and point of contact</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The named person the volunteer answers to and how to reach them</w:t>
            </w:r>
          </w:p>
        </w:tc>
      </w:tr>
      <w:tr>
        <w:trPr>
          <w:cantSplit/>
        </w:trPr>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Term and review</w:t>
            </w:r>
          </w:p>
        </w:tc>
        <w:tc>
          <w:tcPr>
            <w:tcW w:type="dxa" w:w="6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How long the appointment runs and when it is revisited</w:t>
            </w:r>
          </w:p>
        </w:tc>
      </w:tr>
    </w:tbl>
    <w:p>
      <w:pPr>
        <w:keepNext/>
        <w:spacing w:after="90" w:before="220"/>
      </w:pPr>
      <w:r>
        <w:rPr>
          <w:b/>
          <w:bCs/>
          <w:color w:val="1F2A37"/>
          <w:sz w:val="26"/>
          <w:szCs w:val="26"/>
        </w:rPr>
        <w:t xml:space="preserve">Orientation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760"/>
        <w:gridCol w:w="1900"/>
        <w:gridCol w:w="1300"/>
        <w:gridCol w:w="1400"/>
      </w:tblGrid>
      <w:tr>
        <w:trPr>
          <w:cantSplit/>
          <w:tblHeader/>
        </w:trPr>
        <w:tc>
          <w:tcPr>
            <w:tcW w:type="dxa" w:w="47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Item</w:t>
            </w:r>
          </w:p>
        </w:tc>
        <w:tc>
          <w:tcPr>
            <w:tcW w:type="dxa" w:w="19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Who covers it</w:t>
            </w:r>
          </w:p>
        </w:tc>
        <w:tc>
          <w:tcPr>
            <w:tcW w:type="dxa" w:w="13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Date</w:t>
            </w:r>
          </w:p>
        </w:tc>
        <w:tc>
          <w:tcPr>
            <w:tcW w:type="dxa" w:w="14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Initials</w:t>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Welcome, mission, and where volunteers fit</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Walk-through of the written role description</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Standards of conduct and confidentiality</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Safety, emergency procedures, and incident reporting</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Keys, badges, credentials, and systems access issued and logged</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Expense, reimbursement, and funds-handling rules explained</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Named contact, check-in schedule, and how to raise a concern</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Where the policies live and how to ask a question</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47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Acknowledgment signed and filed</w:t>
            </w:r>
          </w:p>
        </w:tc>
        <w:tc>
          <w:tcPr>
            <w:tcW w:type="dxa" w:w="1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3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4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bl>
    <w:p>
      <w:pPr>
        <w:keepNext/>
        <w:spacing w:after="90" w:before="220"/>
      </w:pPr>
      <w:r>
        <w:rPr>
          <w:b/>
          <w:bCs/>
          <w:color w:val="1F2A37"/>
          <w:sz w:val="26"/>
          <w:szCs w:val="26"/>
        </w:rPr>
        <w:t xml:space="preserve">Sample bylaws clauses to confirm or adapt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700"/>
        <w:gridCol w:w="2960"/>
      </w:tblGrid>
      <w:tr>
        <w:trPr>
          <w:cantSplit/>
          <w:tblHeader/>
        </w:trPr>
        <w:tc>
          <w:tcPr>
            <w:tcW w:type="dxa" w:w="17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Topic</w:t>
            </w:r>
          </w:p>
        </w:tc>
        <w:tc>
          <w:tcPr>
            <w:tcW w:type="dxa" w:w="47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Sample language to confirm or adapt</w:t>
            </w:r>
          </w:p>
        </w:tc>
        <w:tc>
          <w:tcPr>
            <w:tcW w:type="dxa" w:w="29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Where it belongs</w:t>
            </w:r>
          </w:p>
        </w:tc>
      </w:tr>
      <w:tr>
        <w:trPr>
          <w:cantSplit/>
        </w:trPr>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Volunteer authority</w:t>
            </w:r>
          </w:p>
        </w:tc>
        <w:tc>
          <w:tcPr>
            <w:tcW w:type="dxa" w:w="4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“Volunteers serve at the direction of designated staff or leadership and do not speak or act for the organization except as authorized in writing.”</w:t>
            </w:r>
          </w:p>
        </w:tc>
        <w:tc>
          <w:tcPr>
            <w:tcW w:type="dxa" w:w="2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Policy manual; optionally referenced in the bylaws</w:t>
            </w:r>
          </w:p>
        </w:tc>
      </w:tr>
      <w:tr>
        <w:trPr>
          <w:cantSplit/>
        </w:trPr>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Officer removal</w:t>
            </w:r>
          </w:p>
        </w:tc>
        <w:tc>
          <w:tcPr>
            <w:tcW w:type="dxa" w:w="4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“Any officer may be removed by the board, with or without cause, as provided by applicable state law.”</w:t>
            </w:r>
          </w:p>
        </w:tc>
        <w:tc>
          <w:tcPr>
            <w:tcW w:type="dxa" w:w="2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Officer article — aligns with RCW 24.03A.595</w:t>
            </w:r>
          </w:p>
        </w:tc>
      </w:tr>
      <w:tr>
        <w:trPr>
          <w:cantSplit/>
        </w:trPr>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Director removal</w:t>
            </w:r>
          </w:p>
        </w:tc>
        <w:tc>
          <w:tcPr>
            <w:tcW w:type="dxa" w:w="4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“Directors may be removed as provided by the Washington Nonprofit Corporation Act and these bylaws.”</w:t>
            </w:r>
          </w:p>
        </w:tc>
        <w:tc>
          <w:tcPr>
            <w:tcW w:type="dxa" w:w="2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Director article — aligns with RCW 24.03A.530</w:t>
            </w:r>
          </w:p>
        </w:tc>
      </w:tr>
      <w:tr>
        <w:trPr>
          <w:cantSplit/>
        </w:trPr>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Member discipline</w:t>
            </w:r>
          </w:p>
        </w:tc>
        <w:tc>
          <w:tcPr>
            <w:tcW w:type="dxa" w:w="4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“Membership may be suspended or terminated for cause as provided in these bylaws and applicable law.”</w:t>
            </w:r>
          </w:p>
        </w:tc>
        <w:tc>
          <w:tcPr>
            <w:tcW w:type="dxa" w:w="2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Membership article — aligns with RCW 24.03A.375</w:t>
            </w:r>
          </w:p>
        </w:tc>
      </w:tr>
      <w:tr>
        <w:trPr>
          <w:cantSplit/>
        </w:trPr>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Document authority</w:t>
            </w:r>
          </w:p>
        </w:tc>
        <w:tc>
          <w:tcPr>
            <w:tcW w:type="dxa" w:w="4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“The board may adopt policies and procedures consistent with these bylaws, which govern where these bylaws are silent.”</w:t>
            </w:r>
          </w:p>
        </w:tc>
        <w:tc>
          <w:tcPr>
            <w:tcW w:type="dxa" w:w="2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Miscellaneous article</w:t>
            </w:r>
          </w:p>
        </w:tc>
      </w:tr>
    </w:tbl>
    <w:p>
      <w:pPr>
        <w:spacing w:after="120" w:before="320"/>
      </w:pPr>
      <w:r>
        <w:rPr>
          <w:b/>
          <w:bCs/>
          <w:color w:val="1F2A37"/>
          <w:sz w:val="26"/>
          <w:szCs w:val="26"/>
        </w:rPr>
        <w:t xml:space="preserve">Guidance notes</w:t>
      </w:r>
    </w:p>
    <w:p>
      <w:pPr>
        <w:pStyle w:val="ListParagraph"/>
        <w:numPr>
          <w:ilvl w:val="0"/>
          <w:numId w:val="2"/>
        </w:numPr>
        <w:spacing w:after="90"/>
      </w:pPr>
      <w:r>
        <w:rPr>
          <w:sz w:val="21"/>
          <w:szCs w:val="21"/>
        </w:rPr>
        <w:t xml:space="preserve">Write the policy and the role before the first volunteer, not after the first dispute.</w:t>
      </w:r>
    </w:p>
    <w:p>
      <w:pPr>
        <w:pStyle w:val="ListParagraph"/>
        <w:numPr>
          <w:ilvl w:val="0"/>
          <w:numId w:val="2"/>
        </w:numPr>
        <w:spacing w:after="90"/>
      </w:pPr>
      <w:r>
        <w:rPr>
          <w:sz w:val="21"/>
          <w:szCs w:val="21"/>
        </w:rPr>
        <w:t xml:space="preserve">A signed role description is worth more than a policy nobody has read.</w:t>
      </w:r>
    </w:p>
    <w:p>
      <w:pPr>
        <w:pStyle w:val="ListParagraph"/>
        <w:numPr>
          <w:ilvl w:val="0"/>
          <w:numId w:val="2"/>
        </w:numPr>
        <w:spacing w:after="90"/>
      </w:pPr>
      <w:r>
        <w:rPr>
          <w:sz w:val="21"/>
          <w:szCs w:val="21"/>
        </w:rPr>
        <w:t xml:space="preserve">Orientation is where standards become governance — the acknowledgment is the evidence.</w:t>
      </w:r>
    </w:p>
    <w:p>
      <w:pPr>
        <w:pStyle w:val="ListParagraph"/>
        <w:numPr>
          <w:ilvl w:val="0"/>
          <w:numId w:val="2"/>
        </w:numPr>
        <w:spacing w:after="90"/>
      </w:pPr>
      <w:r>
        <w:rPr>
          <w:sz w:val="21"/>
          <w:szCs w:val="21"/>
        </w:rPr>
        <w:t xml:space="preserve">The first ninety days are the cheapest time to correct an expectation or end a mismatch.</w:t>
      </w:r>
    </w:p>
    <w:p>
      <w:pPr>
        <w:pStyle w:val="ListParagraph"/>
        <w:numPr>
          <w:ilvl w:val="0"/>
          <w:numId w:val="2"/>
        </w:numPr>
        <w:spacing w:after="90"/>
      </w:pPr>
      <w:r>
        <w:rPr>
          <w:sz w:val="21"/>
          <w:szCs w:val="21"/>
        </w:rPr>
        <w:t xml:space="preserve">Bylaws set the authority; policies set the practice. Amend bylaws carefully and with counsel.</w:t>
      </w:r>
    </w:p>
    <w:p>
      <w:pPr>
        <w:pStyle w:val="ListParagraph"/>
        <w:numPr>
          <w:ilvl w:val="0"/>
          <w:numId w:val="2"/>
        </w:numPr>
        <w:spacing w:after="90"/>
      </w:pPr>
      <w:r>
        <w:rPr>
          <w:sz w:val="21"/>
          <w:szCs w:val="21"/>
        </w:rPr>
        <w:t xml:space="preserve">Keep acknowledgments and screening records where they survive staff turnover.</w:t>
      </w:r>
    </w:p>
    <w:p>
      <w:pPr>
        <w:pStyle w:val="ListParagraph"/>
        <w:numPr>
          <w:ilvl w:val="0"/>
          <w:numId w:val="2"/>
        </w:numPr>
        <w:spacing w:after="90"/>
      </w:pPr>
      <w:r>
        <w:rPr>
          <w:sz w:val="21"/>
          <w:szCs w:val="21"/>
        </w:rPr>
        <w:t xml:space="preserve">This toolkit is a board tool, not legal advice — have counsel review any bylaws amendment.</w:t>
      </w:r>
    </w:p>
    <w:p>
      <w:pPr>
        <w:pBdr>
          <w:top w:val="single" w:color="CFCFCF" w:sz="6" w:space="6"/>
        </w:pBdr>
        <w:spacing w:before="300"/>
      </w:pPr>
      <w:r>
        <w:rPr>
          <w:color w:val="5B6470"/>
          <w:sz w:val="17"/>
          <w:szCs w:val="17"/>
        </w:rPr>
        <w:t xml:space="preserve">Provided for educational and informational purposes only. It is not legal, tax, accounting, or investment advice and does not create a consultant-client relationship. Review with qualified counsel, your accountant, and your attorney before acting. Leonidas Consulting makes no representation that following this template will prevent fraud, loss, dispute, or any other outcome.</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B6470"/>
        <w:sz w:val="16"/>
        <w:szCs w:val="16"/>
      </w:rPr>
      <w:t xml:space="preserve">Volunteer Onboarding &amp; Policy Toolkit — Corporate board — role descriptions, orientation, and governing-document clauses for volunteers</w:t>
    </w:r>
    <w:r>
      <w:rPr>
        <w:color w:val="5B6470"/>
        <w:sz w:val="16"/>
        <w:szCs w:val="16"/>
      </w:rPr>
      <w:t xml:space="preserve">	Page </w:t>
    </w:r>
    <w:r>
      <w:rPr>
        <w:color w:val="5B64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pPr>
    <w:r>
      <w:rPr>
        <w:b/>
        <w:bCs/>
        <w:color w:val="1F2A37"/>
        <w:sz w:val="17"/>
        <w:szCs w:val="17"/>
      </w:rPr>
      <w:t xml:space="preserve">Leonidas Consulting</w:t>
    </w:r>
    <w:r>
      <w:rPr>
        <w:color w:val="5B6470"/>
        <w:sz w:val="17"/>
        <w:szCs w:val="17"/>
      </w:rPr>
      <w:t xml:space="preserve">	Board Advisory · Leadership Development · ESOP &amp; Ownership Advisory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2026-10-13T03:07:00.403Z</dcterms:created>
  <dcterms:modified xsi:type="dcterms:W3CDTF">2026-10-13T03:07:00.403Z</dcterms:modified>
</cp:coreProperties>
</file>

<file path=docProps/custom.xml><?xml version="1.0" encoding="utf-8"?>
<Properties xmlns="http://schemas.openxmlformats.org/officeDocument/2006/custom-properties" xmlns:vt="http://schemas.openxmlformats.org/officeDocument/2006/docPropsVTypes"/>
</file>