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Whistleblower Policy</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the Company is committed to lawful and ethical conduct. This policy encourages directors, employees to raise good-faith concerns about suspected wrongdoing without fear of retaliation.</w:t>
      </w:r>
    </w:p>
    <w:p>
      <w:pPr>
        <w:pStyle w:val="Heading2"/>
        <w:spacing w:after="100" w:before="280"/>
      </w:pPr>
      <w:r>
        <w:t xml:space="preserve">2. Reportable concerns</w:t>
      </w:r>
    </w:p>
    <w:p>
      <w:pPr>
        <w:spacing w:after="120"/>
      </w:pPr>
      <w:r>
        <w:rPr>
          <w:sz w:val="21"/>
          <w:szCs w:val="21"/>
        </w:rPr>
        <w:t xml:space="preserve">Examples include financial or accounting irregularities, fraud, theft, violations of law or regulation, safety risks, and serious breaches of the Company's policies.</w:t>
      </w:r>
    </w:p>
    <w:p>
      <w:pPr>
        <w:pStyle w:val="Heading2"/>
        <w:spacing w:after="100" w:before="280"/>
      </w:pPr>
      <w:r>
        <w:t xml:space="preserve">3. How to report</w:t>
      </w:r>
    </w:p>
    <w:p>
      <w:pPr>
        <w:spacing w:after="120"/>
      </w:pPr>
      <w:r>
        <w:rPr>
          <w:sz w:val="21"/>
          <w:szCs w:val="21"/>
        </w:rPr>
        <w:t xml:space="preserve">Concerns may be reported to a supervisor, the Chief Executive Officer, or — where the concern involves senior management — directly to the Board Chair or the chair of the Audit Committee.</w:t>
      </w:r>
    </w:p>
    <w:p>
      <w:pPr>
        <w:pStyle w:val="Heading2"/>
        <w:spacing w:after="100" w:before="280"/>
      </w:pPr>
      <w:r>
        <w:t xml:space="preserve">4. Confidentiality</w:t>
      </w:r>
    </w:p>
    <w:p>
      <w:pPr>
        <w:spacing w:after="120"/>
      </w:pPr>
      <w:r>
        <w:rPr>
          <w:sz w:val="21"/>
          <w:szCs w:val="21"/>
        </w:rPr>
        <w:t xml:space="preserve">Reports are kept confidential to the extent possible consistent with a fair investigation. Anonymous reports are accepted.</w:t>
      </w:r>
    </w:p>
    <w:p>
      <w:pPr>
        <w:pStyle w:val="Heading2"/>
        <w:spacing w:after="100" w:before="280"/>
      </w:pPr>
      <w:r>
        <w:t xml:space="preserve">5. No retaliation</w:t>
      </w:r>
    </w:p>
    <w:p>
      <w:pPr>
        <w:spacing w:after="120"/>
      </w:pPr>
      <w:r>
        <w:rPr>
          <w:sz w:val="21"/>
          <w:szCs w:val="21"/>
        </w:rPr>
        <w:t xml:space="preserve">No person who makes a good-faith report will suffer harassment, retaliation, or adverse employment consequences. Anyone who retaliates is subject to discipline up to and including termination or removal.</w:t>
      </w:r>
    </w:p>
    <w:p>
      <w:pPr>
        <w:pStyle w:val="Heading2"/>
        <w:spacing w:after="100" w:before="280"/>
      </w:pPr>
      <w:r>
        <w:t xml:space="preserve">6. Investigation</w:t>
      </w:r>
    </w:p>
    <w:p>
      <w:pPr>
        <w:spacing w:after="120"/>
      </w:pPr>
      <w:r>
        <w:rPr>
          <w:sz w:val="21"/>
          <w:szCs w:val="21"/>
        </w:rPr>
        <w:t xml:space="preserve">The person receiving the report acknowledges it, ensures it is investigated promptly, and reports the results and any corrective action to the board or designated committee.</w:t>
      </w:r>
    </w:p>
    <w:p>
      <w:pPr>
        <w:pStyle w:val="Heading2"/>
        <w:spacing w:after="100" w:before="280"/>
      </w:pPr>
      <w:r>
        <w:t xml:space="preserve">7. Good faith</w:t>
      </w:r>
    </w:p>
    <w:p>
      <w:pPr>
        <w:spacing w:after="120"/>
      </w:pPr>
      <w:r>
        <w:rPr>
          <w:sz w:val="21"/>
          <w:szCs w:val="21"/>
        </w:rPr>
        <w:t xml:space="preserve">Anyone filing a report must have reasonable grounds to believe the information is true. Knowingly false reports are a serious disciplinary matter.</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2026-09-24T00:41:29.063Z</dcterms:created>
  <dcterms:modified xsi:type="dcterms:W3CDTF">2026-09-24T00:41:29.063Z</dcterms:modified>
</cp:coreProperties>
</file>

<file path=docProps/custom.xml><?xml version="1.0" encoding="utf-8"?>
<Properties xmlns="http://schemas.openxmlformats.org/officeDocument/2006/custom-properties" xmlns:vt="http://schemas.openxmlformats.org/officeDocument/2006/docPropsVTypes"/>
</file>