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Conflict of Interest Policy</w:t>
      </w:r>
    </w:p>
    <w:p>
      <w:pPr>
        <w:spacing w:after="360"/>
        <w:jc w:val="center"/>
      </w:pPr>
      <w:r>
        <w:rPr>
          <w:color w:val="5E5A53"/>
          <w:sz w:val="20"/>
          <w:szCs w:val="20"/>
        </w:rPr>
        <w:t xml:space="preserve">Model policy — Corporate board</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Resolution number:  </w:t>
      </w:r>
      <w:r>
        <w:rPr>
          <w:color w:val="999999"/>
          <w:sz w:val="20"/>
          <w:szCs w:val="20"/>
        </w:rPr>
        <w:t xml:space="preserve">_______________________________________________</w:t>
      </w:r>
    </w:p>
    <w:p>
      <w:pPr>
        <w:spacing w:after="120"/>
      </w:pPr>
      <w:r>
        <w:rPr>
          <w:b/>
          <w:bCs/>
          <w:sz w:val="20"/>
          <w:szCs w:val="20"/>
        </w:rPr>
        <w:t xml:space="preserve">Next review date:  </w:t>
      </w:r>
      <w:r>
        <w:rPr>
          <w:color w:val="999999"/>
          <w:sz w:val="20"/>
          <w:szCs w:val="20"/>
        </w:rPr>
        <w:t xml:space="preserve">_______________________________________________</w:t>
      </w:r>
    </w:p>
    <w:p>
      <w:pPr>
        <w:pStyle w:val="Heading2"/>
        <w:spacing w:after="100" w:before="280"/>
      </w:pPr>
      <w:r>
        <w:t xml:space="preserve">1. Purpose</w:t>
      </w:r>
    </w:p>
    <w:p>
      <w:pPr>
        <w:spacing w:after="120"/>
      </w:pPr>
      <w:r>
        <w:rPr>
          <w:sz w:val="21"/>
          <w:szCs w:val="21"/>
        </w:rPr>
        <w:t xml:space="preserve">This policy protects the interests of the Company when it considers a transaction or arrangement that might benefit the private interest of a director, officer, or key employee.</w:t>
      </w:r>
    </w:p>
    <w:p>
      <w:pPr>
        <w:pStyle w:val="Heading2"/>
        <w:spacing w:after="100" w:before="280"/>
      </w:pPr>
      <w:r>
        <w:t xml:space="preserve">2. Definitions</w:t>
      </w:r>
    </w:p>
    <w:p>
      <w:pPr>
        <w:spacing w:after="120"/>
      </w:pPr>
      <w:r>
        <w:rPr>
          <w:sz w:val="21"/>
          <w:szCs w:val="21"/>
        </w:rPr>
        <w:t xml:space="preserve">A conflict of interest exists when a covered person, or a family member or business in which the person has a financial interest, stands to gain personally from a decision of the Company, or has a competing duty or loyalty that could reasonably affect their judgment.</w:t>
      </w:r>
    </w:p>
    <w:p>
      <w:pPr>
        <w:pStyle w:val="Heading2"/>
        <w:spacing w:after="100" w:before="280"/>
      </w:pPr>
      <w:r>
        <w:t xml:space="preserve">3. Duty to disclose</w:t>
      </w:r>
    </w:p>
    <w:p>
      <w:pPr>
        <w:spacing w:after="120"/>
      </w:pPr>
      <w:r>
        <w:rPr>
          <w:sz w:val="21"/>
          <w:szCs w:val="21"/>
        </w:rPr>
        <w:t xml:space="preserve">A covered person must disclose any actual or potential conflict, in writing or at the meeting, as soon as it is known and before the board or committee acts on the matter.</w:t>
      </w:r>
    </w:p>
    <w:p>
      <w:pPr>
        <w:pStyle w:val="Heading2"/>
        <w:spacing w:after="100" w:before="280"/>
      </w:pPr>
      <w:r>
        <w:t xml:space="preserve">4. Procedures</w:t>
      </w:r>
    </w:p>
    <w:p>
      <w:pPr>
        <w:spacing w:after="120"/>
      </w:pPr>
      <w:r>
        <w:rPr>
          <w:sz w:val="21"/>
          <w:szCs w:val="21"/>
        </w:rPr>
        <w:t xml:space="preserve">After disclosure, the interested person may answer questions but must leave the discussion and must not vote. The disinterested directors decide whether a conflict exists and whether the transaction is fair and in the best interests of the Company.</w:t>
      </w:r>
    </w:p>
    <w:p>
      <w:pPr>
        <w:pStyle w:val="Heading2"/>
        <w:spacing w:after="100" w:before="280"/>
      </w:pPr>
      <w:r>
        <w:t xml:space="preserve">5. Records</w:t>
      </w:r>
    </w:p>
    <w:p>
      <w:pPr>
        <w:spacing w:after="120"/>
      </w:pPr>
      <w:r>
        <w:rPr>
          <w:sz w:val="21"/>
          <w:szCs w:val="21"/>
        </w:rPr>
        <w:t xml:space="preserve">The minutes record the disclosure, the board's determination, the names of those present for the discussion and vote, the recusal, and the result of the vote.</w:t>
      </w:r>
    </w:p>
    <w:p>
      <w:pPr>
        <w:pStyle w:val="Heading2"/>
        <w:spacing w:after="100" w:before="280"/>
      </w:pPr>
      <w:r>
        <w:t xml:space="preserve">6. Annual statement</w:t>
      </w:r>
    </w:p>
    <w:p>
      <w:pPr>
        <w:spacing w:after="120"/>
      </w:pPr>
      <w:r>
        <w:rPr>
          <w:sz w:val="21"/>
          <w:szCs w:val="21"/>
        </w:rPr>
        <w:t xml:space="preserve">Each covered person signs an annual statement confirming they have received, read, and agree to comply with this policy, and listing any known interests or relationships that could give rise to a conflict.</w:t>
      </w:r>
    </w:p>
    <w:p>
      <w:pPr>
        <w:pStyle w:val="Heading2"/>
        <w:spacing w:after="100" w:before="280"/>
      </w:pPr>
      <w:r>
        <w:t xml:space="preserve">7. Violations</w:t>
      </w:r>
    </w:p>
    <w:p>
      <w:pPr>
        <w:spacing w:after="120"/>
      </w:pPr>
      <w:r>
        <w:rPr>
          <w:sz w:val="21"/>
          <w:szCs w:val="21"/>
        </w:rPr>
        <w:t xml:space="preserve">If the board has reason to believe a covered person has failed to disclose a conflict, it will give the person an opportunity to explain and may take appropriate corrective action.</w:t>
      </w:r>
    </w:p>
    <w:p>
      <w:pPr>
        <w:pStyle w:val="Heading2"/>
        <w:pageBreakBefore/>
      </w:pPr>
      <w:r>
        <w:t xml:space="preserve">Annual Conflict of Interest Disclosure Statement</w:t>
      </w:r>
    </w:p>
    <w:p>
      <w:pPr>
        <w:spacing w:after="200"/>
      </w:pPr>
      <w:r>
        <w:rPr>
          <w:sz w:val="21"/>
          <w:szCs w:val="21"/>
        </w:rPr>
        <w:t xml:space="preserve">I have received, read, and agree to comply with the Conflict of Interest Policy. I disclose the following interests, relationships, or affiliations that could give rise to a conflict (write "None" if none):</w:t>
      </w:r>
    </w:p>
    <w:p>
      <w:pPr>
        <w:spacing w:after="200"/>
      </w:pPr>
      <w:r>
        <w:rPr>
          <w:color w:val="999999"/>
        </w:rPr>
        <w:t xml:space="preserve">____________________________________________________________________________</w:t>
      </w:r>
    </w:p>
    <w:p>
      <w:pPr>
        <w:spacing w:after="200"/>
      </w:pPr>
      <w:r>
        <w:rPr>
          <w:color w:val="999999"/>
        </w:rPr>
        <w:t xml:space="preserve">____________________________________________________________________________</w:t>
      </w:r>
    </w:p>
    <w:p>
      <w:pPr>
        <w:spacing w:after="200"/>
      </w:pPr>
      <w:r>
        <w:rPr>
          <w:color w:val="999999"/>
        </w:rPr>
        <w:t xml:space="preserve">____________________________________________________________________________</w:t>
      </w:r>
    </w:p>
    <w:p>
      <w:pPr>
        <w:spacing w:after="200"/>
      </w:pPr>
      <w:r>
        <w:rPr>
          <w:color w:val="999999"/>
        </w:rPr>
        <w:t xml:space="preserve">____________________________________________________________________________</w:t>
      </w:r>
    </w:p>
    <w:p>
      <w:pPr>
        <w:spacing w:after="120"/>
      </w:pPr>
      <w:r>
        <w:rPr>
          <w:b/>
          <w:bCs/>
          <w:sz w:val="20"/>
          <w:szCs w:val="20"/>
        </w:rPr>
        <w:t xml:space="preserve">Name:  </w:t>
      </w:r>
      <w:r>
        <w:rPr>
          <w:color w:val="999999"/>
          <w:sz w:val="20"/>
          <w:szCs w:val="20"/>
        </w:rPr>
        <w:t xml:space="preserve">_______________________________________________</w:t>
      </w:r>
    </w:p>
    <w:p>
      <w:pPr>
        <w:spacing w:after="120"/>
      </w:pPr>
      <w:r>
        <w:rPr>
          <w:b/>
          <w:bCs/>
          <w:sz w:val="20"/>
          <w:szCs w:val="20"/>
        </w:rPr>
        <w:t xml:space="preserve">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pStyle w:val="Heading2"/>
        <w:spacing w:before="400"/>
      </w:pPr>
      <w:r>
        <w:t xml:space="preserve">Adoption</w:t>
      </w:r>
    </w:p>
    <w:p>
      <w:pPr>
        <w:spacing w:after="200"/>
      </w:pPr>
      <w:r>
        <w:rPr>
          <w:sz w:val="21"/>
          <w:szCs w:val="21"/>
        </w:rPr>
        <w:t xml:space="preserve">This policy was adopted by resolution of the Board of Directors on the date above.</w:t>
      </w:r>
    </w:p>
    <w:p>
      <w:pPr>
        <w:spacing w:after="120"/>
      </w:pPr>
      <w:r>
        <w:rPr>
          <w:b/>
          <w:bCs/>
          <w:sz w:val="20"/>
          <w:szCs w:val="20"/>
        </w:rPr>
        <w:t xml:space="preserve">Secretary 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spacing w:before="400"/>
      </w:pPr>
      <w:r>
        <w:rPr>
          <w:i/>
          <w:iCs/>
          <w:color w:val="5E5A53"/>
          <w:sz w:val="16"/>
          <w:szCs w:val="16"/>
        </w:rPr>
        <w:t xml:space="preserve">This model policy is provided for educational purposes by Leonidas Consulting and does not constitute legal advice. Adapt it to your organization's bylaws, governing documents, and applicable law, and consult qualified counsel before adoption.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3D5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2026-09-24T00:41:29.025Z</dcterms:created>
  <dcterms:modified xsi:type="dcterms:W3CDTF">2026-09-24T00:41:29.025Z</dcterms:modified>
</cp:coreProperties>
</file>

<file path=docProps/custom.xml><?xml version="1.0" encoding="utf-8"?>
<Properties xmlns="http://schemas.openxmlformats.org/officeDocument/2006/custom-properties" xmlns:vt="http://schemas.openxmlformats.org/officeDocument/2006/docPropsVTypes"/>
</file>