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CCCCCC" w:sz="1" w:space="8"/>
          <w:left w:val="dashed" w:color="CCCCCC" w:sz="1" w:space="8"/>
          <w:bottom w:val="dashed" w:color="CCCCCC" w:sz="1" w:space="8"/>
          <w:right w:val="dashed" w:color="CCCCCC" w:sz="1" w:space="8"/>
        </w:pBdr>
        <w:spacing w:after="200"/>
        <w:jc w:val="center"/>
      </w:pPr>
      <w:r>
        <w:rPr>
          <w:rFonts w:ascii="Arial" w:cs="Arial" w:eastAsia="Arial" w:hAnsi="Arial"/>
          <w:i/>
          <w:iCs/>
          <w:color w:val="AAAAAA"/>
          <w:sz w:val="20"/>
          <w:szCs w:val="20"/>
        </w:rPr>
        <w:t xml:space="preserve">[ Organization Logo ]</w:t>
      </w:r>
    </w:p>
    <w:p>
      <w:pPr>
        <w:pStyle w:val="Heading1"/>
        <w:spacing w:after="100" w:before="200"/>
        <w:jc w:val="center"/>
      </w:pPr>
      <w:r>
        <w:rPr>
          <w:rFonts w:ascii="Arial" w:cs="Arial" w:eastAsia="Arial" w:hAnsi="Arial"/>
          <w:b/>
          <w:bCs/>
          <w:color w:val="2A261E"/>
          <w:sz w:val="32"/>
          <w:szCs w:val="32"/>
        </w:rPr>
        <w:t xml:space="preserve">Board Mentoring Guide</w:t>
      </w:r>
    </w:p>
    <w:p>
      <w:pPr>
        <w:spacing w:after="300"/>
        <w:jc w:val="center"/>
      </w:pPr>
      <w:r>
        <w:rPr>
          <w:rFonts w:ascii="Arial" w:cs="Arial" w:eastAsia="Arial" w:hAnsi="Arial"/>
          <w:i/>
          <w:iCs/>
          <w:color w:val="5E5A53"/>
          <w:sz w:val="22"/>
          <w:szCs w:val="22"/>
        </w:rPr>
        <w:t xml:space="preserve">Corporate board of directors — mentor pairing and first-year conversation plan</w:t>
      </w:r>
    </w:p>
    <w:p>
      <w:pPr>
        <w:spacing w:after="60" w:before="120"/>
      </w:pPr>
      <w:r>
        <w:rPr>
          <w:rFonts w:ascii="Arial" w:cs="Arial" w:eastAsia="Arial" w:hAnsi="Arial"/>
          <w:b/>
          <w:bCs/>
          <w:color w:val="2A261E"/>
          <w:sz w:val="22"/>
          <w:szCs w:val="22"/>
        </w:rPr>
        <w:t xml:space="preserve">Organization:  </w:t>
      </w:r>
      <w:r>
        <w:rPr>
          <w:rFonts w:ascii="Arial" w:cs="Arial" w:eastAsia="Arial" w:hAnsi="Arial"/>
          <w:color w:val="AAAAAA"/>
          <w:sz w:val="22"/>
          <w:szCs w:val="22"/>
        </w:rPr>
        <w:t xml:space="preserve">__________________________________________________</w:t>
      </w:r>
    </w:p>
    <w:p>
      <w:pPr>
        <w:spacing w:after="60" w:before="120"/>
      </w:pPr>
      <w:r>
        <w:rPr>
          <w:rFonts w:ascii="Arial" w:cs="Arial" w:eastAsia="Arial" w:hAnsi="Arial"/>
          <w:b/>
          <w:bCs/>
          <w:color w:val="2A261E"/>
          <w:sz w:val="22"/>
          <w:szCs w:val="22"/>
        </w:rPr>
        <w:t xml:space="preserve">New director:  </w:t>
      </w:r>
      <w:r>
        <w:rPr>
          <w:rFonts w:ascii="Arial" w:cs="Arial" w:eastAsia="Arial" w:hAnsi="Arial"/>
          <w:color w:val="AAAAAA"/>
          <w:sz w:val="22"/>
          <w:szCs w:val="22"/>
        </w:rPr>
        <w:t xml:space="preserve">__________________________________________________</w:t>
      </w:r>
    </w:p>
    <w:p>
      <w:pPr>
        <w:spacing w:after="60" w:before="120"/>
      </w:pPr>
      <w:r>
        <w:rPr>
          <w:rFonts w:ascii="Arial" w:cs="Arial" w:eastAsia="Arial" w:hAnsi="Arial"/>
          <w:b/>
          <w:bCs/>
          <w:color w:val="2A261E"/>
          <w:sz w:val="22"/>
          <w:szCs w:val="22"/>
        </w:rPr>
        <w:t xml:space="preserve">Board mentor:  </w:t>
      </w:r>
      <w:r>
        <w:rPr>
          <w:rFonts w:ascii="Arial" w:cs="Arial" w:eastAsia="Arial" w:hAnsi="Arial"/>
          <w:color w:val="AAAAAA"/>
          <w:sz w:val="22"/>
          <w:szCs w:val="22"/>
        </w:rPr>
        <w:t xml:space="preserve">__________________________________________________</w:t>
      </w:r>
    </w:p>
    <w:p>
      <w:pPr>
        <w:spacing w:after="60" w:before="120"/>
      </w:pPr>
      <w:r>
        <w:rPr>
          <w:rFonts w:ascii="Arial" w:cs="Arial" w:eastAsia="Arial" w:hAnsi="Arial"/>
          <w:b/>
          <w:bCs/>
          <w:color w:val="2A261E"/>
          <w:sz w:val="22"/>
          <w:szCs w:val="22"/>
        </w:rPr>
        <w:t xml:space="preserve">Mentoring period:  </w:t>
      </w:r>
      <w:r>
        <w:rPr>
          <w:rFonts w:ascii="Arial" w:cs="Arial" w:eastAsia="Arial" w:hAnsi="Arial"/>
          <w:color w:val="AAAAAA"/>
          <w:sz w:val="22"/>
          <w:szCs w:val="22"/>
        </w:rPr>
        <w:t xml:space="preserve">__________________________________________________</w:t>
      </w:r>
    </w:p>
    <w:p>
      <w:pPr>
        <w:pStyle w:val="Heading2"/>
        <w:spacing w:after="120" w:before="360"/>
      </w:pPr>
      <w:r>
        <w:rPr>
          <w:rFonts w:ascii="Arial" w:cs="Arial" w:eastAsia="Arial" w:hAnsi="Arial"/>
          <w:b/>
          <w:bCs/>
          <w:color w:val="2A261E"/>
          <w:sz w:val="26"/>
          <w:szCs w:val="26"/>
        </w:rPr>
        <w:t xml:space="preserve">1. Purpose and pairing</w:t>
      </w:r>
    </w:p>
    <w:p>
      <w:pPr>
        <w:spacing w:after="120"/>
      </w:pPr>
      <w:r>
        <w:rPr>
          <w:rFonts w:ascii="Arial" w:cs="Arial" w:eastAsia="Arial" w:hAnsi="Arial"/>
          <w:color w:val="2A261E"/>
          <w:sz w:val="22"/>
          <w:szCs w:val="22"/>
        </w:rPr>
        <w:t xml:space="preserve">The board chair or governance committee pairs each new director with an experienced director — ideally one who does not serve on the same committee and has no reporting or business relationship with the new director. Confirm the pairing in writing before the first meeting.</w:t>
      </w:r>
    </w:p>
    <w:p>
      <w:pPr>
        <w:spacing w:after="60" w:before="100"/>
        <w:ind w:left="360"/>
      </w:pPr>
      <w:r>
        <w:rPr>
          <w:rFonts w:ascii="Arial" w:cs="Arial" w:eastAsia="Arial" w:hAnsi="Arial"/>
          <w:color w:val="2A261E"/>
          <w:sz w:val="22"/>
          <w:szCs w:val="22"/>
        </w:rPr>
        <w:t xml:space="preserve">Mentor selected by:  </w:t>
      </w:r>
      <w:r>
        <w:rPr>
          <w:rFonts w:ascii="Arial" w:cs="Arial" w:eastAsia="Arial" w:hAnsi="Arial"/>
          <w:color w:val="AAAAAA"/>
          <w:sz w:val="22"/>
          <w:szCs w:val="22"/>
        </w:rPr>
        <w:t xml:space="preserve">____________________________________</w:t>
      </w:r>
    </w:p>
    <w:p>
      <w:pPr>
        <w:spacing w:after="60" w:before="100"/>
        <w:ind w:left="360"/>
      </w:pPr>
      <w:r>
        <w:rPr>
          <w:rFonts w:ascii="Arial" w:cs="Arial" w:eastAsia="Arial" w:hAnsi="Arial"/>
          <w:color w:val="2A261E"/>
          <w:sz w:val="22"/>
          <w:szCs w:val="22"/>
        </w:rPr>
        <w:t xml:space="preserve">Reason for pairing:  </w:t>
      </w:r>
      <w:r>
        <w:rPr>
          <w:rFonts w:ascii="Arial" w:cs="Arial" w:eastAsia="Arial" w:hAnsi="Arial"/>
          <w:color w:val="AAAAAA"/>
          <w:sz w:val="22"/>
          <w:szCs w:val="22"/>
        </w:rPr>
        <w:t xml:space="preserve">____________________________________</w:t>
      </w:r>
    </w:p>
    <w:p>
      <w:pPr>
        <w:spacing w:after="60" w:before="100"/>
        <w:ind w:left="360"/>
      </w:pPr>
      <w:r>
        <w:rPr>
          <w:rFonts w:ascii="Arial" w:cs="Arial" w:eastAsia="Arial" w:hAnsi="Arial"/>
          <w:color w:val="2A261E"/>
          <w:sz w:val="22"/>
          <w:szCs w:val="22"/>
        </w:rPr>
        <w:t xml:space="preserve">Agreed contact method and frequency:  </w:t>
      </w:r>
      <w:r>
        <w:rPr>
          <w:rFonts w:ascii="Arial" w:cs="Arial" w:eastAsia="Arial" w:hAnsi="Arial"/>
          <w:color w:val="AAAAAA"/>
          <w:sz w:val="22"/>
          <w:szCs w:val="22"/>
        </w:rPr>
        <w:t xml:space="preserve">___________________</w:t>
      </w:r>
    </w:p>
    <w:p>
      <w:pPr>
        <w:pStyle w:val="Heading2"/>
        <w:spacing w:after="120" w:before="360"/>
      </w:pPr>
      <w:r>
        <w:rPr>
          <w:rFonts w:ascii="Arial" w:cs="Arial" w:eastAsia="Arial" w:hAnsi="Arial"/>
          <w:b/>
          <w:bCs/>
          <w:color w:val="2A261E"/>
          <w:sz w:val="26"/>
          <w:szCs w:val="26"/>
        </w:rPr>
        <w:t xml:space="preserve">2. Roles and expectations</w:t>
      </w:r>
    </w:p>
    <w:p>
      <w:pPr>
        <w:spacing w:after="120"/>
      </w:pPr>
      <w:r>
        <w:rPr>
          <w:rFonts w:ascii="Arial" w:cs="Arial" w:eastAsia="Arial" w:hAnsi="Arial"/>
          <w:color w:val="2A261E"/>
          <w:sz w:val="22"/>
          <w:szCs w:val="22"/>
        </w:rPr>
        <w:t xml:space="preserve">The mentor explains unwritten norms, helps interpret board materials and history, and is a candid sounding board. The mentor does not speak for the board, lobby for votes, or share confidential committee or executive-session matters the new director is not entitled to receive. The new director comes prepared, asks questions, and forms independent judgments.</w:t>
      </w:r>
    </w:p>
    <w:p>
      <w:pPr>
        <w:pStyle w:val="Heading2"/>
        <w:spacing w:after="120" w:before="360"/>
      </w:pPr>
      <w:r>
        <w:rPr>
          <w:rFonts w:ascii="Arial" w:cs="Arial" w:eastAsia="Arial" w:hAnsi="Arial"/>
          <w:b/>
          <w:bCs/>
          <w:color w:val="2A261E"/>
          <w:sz w:val="26"/>
          <w:szCs w:val="26"/>
        </w:rPr>
        <w:t xml:space="preserve">3. First-year conversation plan</w:t>
      </w:r>
    </w:p>
    <w:p>
      <w:pPr>
        <w:spacing w:after="120"/>
      </w:pPr>
      <w:r>
        <w:rPr>
          <w:rFonts w:ascii="Arial" w:cs="Arial" w:eastAsia="Arial" w:hAnsi="Arial"/>
          <w:color w:val="2A261E"/>
          <w:sz w:val="22"/>
          <w:szCs w:val="22"/>
        </w:rPr>
        <w:t xml:space="preserve">Hold a short conversation before and after each of the first several board meetings, then quarterly. Use the plan below as a guide rather than a script.</w:t>
      </w:r>
    </w:p>
    <w:p>
      <w:pPr>
        <w:spacing w:after="80" w:before="200"/>
      </w:pPr>
      <w:r>
        <w:rPr>
          <w:rFonts w:ascii="Arial" w:cs="Arial" w:eastAsia="Arial" w:hAnsi="Arial"/>
          <w:b/>
          <w:bCs/>
          <w:color w:val="3D5E1D"/>
          <w:sz w:val="22"/>
          <w:szCs w:val="22"/>
        </w:rPr>
        <w:t xml:space="preserve">First-year conversation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560"/>
        <w:gridCol w:w="2400"/>
        <w:gridCol w:w="1400"/>
      </w:tblGrid>
      <w:tr>
        <w:tc>
          <w:tcPr>
            <w:tcW w:type="dxa" w:w="556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rFonts w:ascii="Arial" w:cs="Arial" w:eastAsia="Arial" w:hAnsi="Arial"/>
                <w:b/>
                <w:bCs/>
                <w:color w:val="2A261E"/>
                <w:sz w:val="20"/>
                <w:szCs w:val="20"/>
              </w:rPr>
              <w:t xml:space="preserve">Item</w:t>
            </w:r>
          </w:p>
        </w:tc>
        <w:tc>
          <w:tcPr>
            <w:tcW w:type="dxa" w:w="24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rFonts w:ascii="Arial" w:cs="Arial" w:eastAsia="Arial" w:hAnsi="Arial"/>
                <w:b/>
                <w:bCs/>
                <w:color w:val="2A261E"/>
                <w:sz w:val="20"/>
                <w:szCs w:val="20"/>
              </w:rPr>
              <w:t xml:space="preserve">Owner</w:t>
            </w:r>
          </w:p>
        </w:tc>
        <w:tc>
          <w:tcPr>
            <w:tcW w:type="dxa" w:w="14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center"/>
            </w:pPr>
            <w:r>
              <w:rPr>
                <w:rFonts w:ascii="Arial" w:cs="Arial" w:eastAsia="Arial" w:hAnsi="Arial"/>
                <w:b/>
                <w:bCs/>
                <w:color w:val="2A261E"/>
                <w:sz w:val="20"/>
                <w:szCs w:val="20"/>
              </w:rPr>
              <w:t xml:space="preserve">Done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Before meeting 1 — board culture, meeting format, how questions are raised, key personalities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After meeting 1 — debrief: what was clear, what was confusing, historical context</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Before meeting 2 — reading the financials and key performance measures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After meeting 2 — strategy, major risks, and how the board oversees management</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Quarter 2 — committee work, the CEO–board relationship, and executive sessions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Quarter 3 — shareholder or owner expectations and governance of major decisions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r>
        <w:tc>
          <w:tcPr>
            <w:tcW w:type="dxa" w:w="556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Quarter 4 — board evaluation, finding your voice, and future leadership roles</w:t>
            </w:r>
          </w:p>
        </w:tc>
        <w:tc>
          <w:tcPr>
            <w:tcW w:type="dxa" w:w="2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left"/>
            </w:pPr>
            <w:r>
              <w:rPr>
                <w:rFonts w:ascii="Arial" w:cs="Arial" w:eastAsia="Arial" w:hAnsi="Arial"/>
                <w:b w:val="false"/>
                <w:bCs w:val="false"/>
                <w:color w:val="2A261E"/>
                <w:sz w:val="20"/>
                <w:szCs w:val="20"/>
              </w:rPr>
              <w:t xml:space="preserve"/>
            </w:r>
          </w:p>
        </w:tc>
        <w:tc>
          <w:tcPr>
            <w:tcW w:type="dxa" w:w="14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jc w:val="center"/>
            </w:pPr>
            <w:r>
              <w:rPr>
                <w:rFonts w:ascii="Arial" w:cs="Arial" w:eastAsia="Arial" w:hAnsi="Arial"/>
                <w:b w:val="false"/>
                <w:bCs w:val="false"/>
                <w:color w:val="2A261E"/>
                <w:sz w:val="20"/>
                <w:szCs w:val="20"/>
              </w:rPr>
              <w:t xml:space="preserve">☐</w:t>
            </w:r>
          </w:p>
        </w:tc>
      </w:tr>
    </w:tbl>
    <w:p>
      <w:pPr>
        <w:pStyle w:val="Heading2"/>
        <w:spacing w:after="120" w:before="360"/>
      </w:pPr>
      <w:r>
        <w:rPr>
          <w:rFonts w:ascii="Arial" w:cs="Arial" w:eastAsia="Arial" w:hAnsi="Arial"/>
          <w:b/>
          <w:bCs/>
          <w:color w:val="2A261E"/>
          <w:sz w:val="26"/>
          <w:szCs w:val="26"/>
        </w:rPr>
        <w:t xml:space="preserve">4. Confidentiality and independence</w:t>
      </w:r>
    </w:p>
    <w:p>
      <w:pPr>
        <w:spacing w:after="120"/>
      </w:pPr>
      <w:r>
        <w:rPr>
          <w:rFonts w:ascii="Arial" w:cs="Arial" w:eastAsia="Arial" w:hAnsi="Arial"/>
          <w:color w:val="2A261E"/>
          <w:sz w:val="22"/>
          <w:szCs w:val="22"/>
        </w:rPr>
        <w:t xml:space="preserve">Mentoring conversations are confidential between the pair, but both remain bound by the board's confidentiality and conflict of interest policies. Each director owes fiduciary duties individually — a mentor's view is input, not direction.</w:t>
      </w:r>
    </w:p>
    <w:p>
      <w:pPr>
        <w:pStyle w:val="Heading2"/>
        <w:spacing w:after="120" w:before="360"/>
      </w:pPr>
      <w:r>
        <w:rPr>
          <w:rFonts w:ascii="Arial" w:cs="Arial" w:eastAsia="Arial" w:hAnsi="Arial"/>
          <w:b/>
          <w:bCs/>
          <w:color w:val="2A261E"/>
          <w:sz w:val="26"/>
          <w:szCs w:val="26"/>
        </w:rPr>
        <w:t xml:space="preserve">5. Year-end review</w:t>
      </w:r>
    </w:p>
    <w:p>
      <w:pPr>
        <w:spacing w:after="120"/>
      </w:pPr>
      <w:r>
        <w:rPr>
          <w:rFonts w:ascii="Arial" w:cs="Arial" w:eastAsia="Arial" w:hAnsi="Arial"/>
          <w:color w:val="2A261E"/>
          <w:sz w:val="22"/>
          <w:szCs w:val="22"/>
        </w:rPr>
        <w:t xml:space="preserve">At the end of the first year, the pair and the board chair briefly review what worked, what the new director still needs, and whether the formal mentoring relationship should end or continue informally.</w:t>
      </w:r>
    </w:p>
    <w:p>
      <w:pPr>
        <w:spacing w:after="60" w:before="100"/>
        <w:ind w:left="360"/>
      </w:pPr>
      <w:r>
        <w:rPr>
          <w:rFonts w:ascii="Arial" w:cs="Arial" w:eastAsia="Arial" w:hAnsi="Arial"/>
          <w:color w:val="2A261E"/>
          <w:sz w:val="22"/>
          <w:szCs w:val="22"/>
        </w:rPr>
        <w:t xml:space="preserve">Review date:  </w:t>
      </w:r>
      <w:r>
        <w:rPr>
          <w:rFonts w:ascii="Arial" w:cs="Arial" w:eastAsia="Arial" w:hAnsi="Arial"/>
          <w:color w:val="AAAAAA"/>
          <w:sz w:val="22"/>
          <w:szCs w:val="22"/>
        </w:rPr>
        <w:t xml:space="preserve">___________________________________________</w:t>
      </w:r>
    </w:p>
    <w:p>
      <w:pPr>
        <w:spacing w:after="60" w:before="100"/>
        <w:ind w:left="360"/>
      </w:pPr>
      <w:r>
        <w:rPr>
          <w:rFonts w:ascii="Arial" w:cs="Arial" w:eastAsia="Arial" w:hAnsi="Arial"/>
          <w:color w:val="2A261E"/>
          <w:sz w:val="22"/>
          <w:szCs w:val="22"/>
        </w:rPr>
        <w:t xml:space="preserve">What was most helpful:  </w:t>
      </w:r>
      <w:r>
        <w:rPr>
          <w:rFonts w:ascii="Arial" w:cs="Arial" w:eastAsia="Arial" w:hAnsi="Arial"/>
          <w:color w:val="AAAAAA"/>
          <w:sz w:val="22"/>
          <w:szCs w:val="22"/>
        </w:rPr>
        <w:t xml:space="preserve">_________________________________</w:t>
      </w:r>
    </w:p>
    <w:p>
      <w:pPr>
        <w:spacing w:after="60" w:before="100"/>
        <w:ind w:left="360"/>
      </w:pPr>
      <w:r>
        <w:rPr>
          <w:rFonts w:ascii="Arial" w:cs="Arial" w:eastAsia="Arial" w:hAnsi="Arial"/>
          <w:color w:val="2A261E"/>
          <w:sz w:val="22"/>
          <w:szCs w:val="22"/>
        </w:rPr>
        <w:t xml:space="preserve">Remaining development needs:  </w:t>
      </w:r>
      <w:r>
        <w:rPr>
          <w:rFonts w:ascii="Arial" w:cs="Arial" w:eastAsia="Arial" w:hAnsi="Arial"/>
          <w:color w:val="AAAAAA"/>
          <w:sz w:val="22"/>
          <w:szCs w:val="22"/>
        </w:rPr>
        <w:t xml:space="preserve">___________________________</w:t>
      </w:r>
    </w:p>
    <w:p>
      <w:pPr>
        <w:spacing w:after="60" w:before="100"/>
        <w:ind w:left="360"/>
      </w:pPr>
      <w:r>
        <w:rPr>
          <w:rFonts w:ascii="Arial" w:cs="Arial" w:eastAsia="Arial" w:hAnsi="Arial"/>
          <w:color w:val="2A261E"/>
          <w:sz w:val="22"/>
          <w:szCs w:val="22"/>
        </w:rPr>
        <w:t xml:space="preserve">Suggestions for the next pairing:  </w:t>
      </w:r>
      <w:r>
        <w:rPr>
          <w:rFonts w:ascii="Arial" w:cs="Arial" w:eastAsia="Arial" w:hAnsi="Arial"/>
          <w:color w:val="AAAAAA"/>
          <w:sz w:val="22"/>
          <w:szCs w:val="22"/>
        </w:rPr>
        <w:t xml:space="preserve">______________________</w:t>
      </w:r>
    </w:p>
    <w:p>
      <w:pPr>
        <w:pStyle w:val="Heading2"/>
        <w:spacing w:after="120" w:before="360"/>
      </w:pPr>
      <w:r>
        <w:rPr>
          <w:rFonts w:ascii="Arial" w:cs="Arial" w:eastAsia="Arial" w:hAnsi="Arial"/>
          <w:b/>
          <w:bCs/>
          <w:color w:val="2A261E"/>
          <w:sz w:val="26"/>
          <w:szCs w:val="26"/>
        </w:rPr>
        <w:t xml:space="preserve">6. Guidance Notes</w:t>
      </w:r>
    </w:p>
    <w:p>
      <w:pPr>
        <w:spacing w:after="80"/>
        <w:ind w:left="360"/>
      </w:pPr>
      <w:r>
        <w:rPr>
          <w:rFonts w:ascii="Arial" w:cs="Arial" w:eastAsia="Arial" w:hAnsi="Arial"/>
          <w:color w:val="5E5A53"/>
          <w:sz w:val="20"/>
          <w:szCs w:val="20"/>
        </w:rPr>
        <w:t xml:space="preserve">•  Choose mentors for judgment and generosity with time, not simply seniority.</w:t>
      </w:r>
    </w:p>
    <w:p>
      <w:pPr>
        <w:spacing w:after="80"/>
        <w:ind w:left="360"/>
      </w:pPr>
      <w:r>
        <w:rPr>
          <w:rFonts w:ascii="Arial" w:cs="Arial" w:eastAsia="Arial" w:hAnsi="Arial"/>
          <w:color w:val="5E5A53"/>
          <w:sz w:val="20"/>
          <w:szCs w:val="20"/>
        </w:rPr>
        <w:t xml:space="preserve">•  Keep the commitment modest — typically a brief conversation around each meeting for the first year.</w:t>
      </w:r>
    </w:p>
    <w:p>
      <w:pPr>
        <w:spacing w:after="80"/>
        <w:ind w:left="360"/>
      </w:pPr>
      <w:r>
        <w:rPr>
          <w:rFonts w:ascii="Arial" w:cs="Arial" w:eastAsia="Arial" w:hAnsi="Arial"/>
          <w:color w:val="5E5A53"/>
          <w:sz w:val="20"/>
          <w:szCs w:val="20"/>
        </w:rPr>
        <w:t xml:space="preserve">•  Encourage the new director to disagree with the mentor. Independence of judgment is the point.</w:t>
      </w:r>
    </w:p>
    <w:p>
      <w:pPr>
        <w:spacing w:after="80"/>
        <w:ind w:left="360"/>
      </w:pPr>
      <w:r>
        <w:rPr>
          <w:rFonts w:ascii="Arial" w:cs="Arial" w:eastAsia="Arial" w:hAnsi="Arial"/>
          <w:color w:val="5E5A53"/>
          <w:sz w:val="20"/>
          <w:szCs w:val="20"/>
        </w:rPr>
        <w:t xml:space="preserve">•  Ask for feedback on the pairing at six months and adjust if it is not working.</w:t>
      </w:r>
    </w:p>
    <w:p>
      <w:pPr>
        <w:spacing w:after="80"/>
        <w:ind w:left="360"/>
      </w:pPr>
      <w:r>
        <w:rPr>
          <w:rFonts w:ascii="Arial" w:cs="Arial" w:eastAsia="Arial" w:hAnsi="Arial"/>
          <w:color w:val="5E5A53"/>
          <w:sz w:val="20"/>
          <w:szCs w:val="20"/>
        </w:rPr>
        <w:t xml:space="preserve">•  Tailor this guide to your board's culture, size, and calendar. Mentoring supplements formal orientation and board education; it does not replace them.</w:t>
      </w:r>
    </w:p>
    <w:p>
      <w:pPr>
        <w:pStyle w:val="Heading2"/>
        <w:spacing w:after="120" w:before="360"/>
      </w:pPr>
      <w:r>
        <w:rPr>
          <w:rFonts w:ascii="Arial" w:cs="Arial" w:eastAsia="Arial" w:hAnsi="Arial"/>
          <w:b/>
          <w:bCs/>
          <w:color w:val="2A261E"/>
          <w:sz w:val="26"/>
          <w:szCs w:val="26"/>
        </w:rPr>
        <w:t xml:space="preserve">7. Important Qualifiers</w:t>
      </w:r>
    </w:p>
    <w:p>
      <w:pPr>
        <w:spacing w:after="80"/>
        <w:ind w:left="360"/>
      </w:pPr>
      <w:r>
        <w:rPr>
          <w:rFonts w:ascii="Arial" w:cs="Arial" w:eastAsia="Arial" w:hAnsi="Arial"/>
          <w:color w:val="5E5A53"/>
          <w:sz w:val="20"/>
          <w:szCs w:val="20"/>
        </w:rPr>
        <w:t xml:space="preserve">•  Legal counsel review is recommended. Have qualified legal counsel licensed in your state or jurisdiction review and adapt this material before your board relies on it.</w:t>
      </w:r>
    </w:p>
    <w:p>
      <w:pPr>
        <w:spacing w:after="80"/>
        <w:ind w:left="360"/>
      </w:pPr>
      <w:r>
        <w:rPr>
          <w:rFonts w:ascii="Arial" w:cs="Arial" w:eastAsia="Arial" w:hAnsi="Arial"/>
          <w:color w:val="5E5A53"/>
          <w:sz w:val="20"/>
          <w:szCs w:val="20"/>
        </w:rPr>
        <w:t xml:space="preserve">•  Educational model language only. This is a general model provided for educational purposes. It is not legal, tax, accounting, or compliance advice, and it does not create an attorney-client or advisory relationship.</w:t>
      </w:r>
    </w:p>
    <w:p>
      <w:pPr>
        <w:spacing w:after="80"/>
        <w:ind w:left="360"/>
      </w:pPr>
      <w:r>
        <w:rPr>
          <w:rFonts w:ascii="Arial" w:cs="Arial" w:eastAsia="Arial" w:hAnsi="Arial"/>
          <w:color w:val="5E5A53"/>
          <w:sz w:val="20"/>
          <w:szCs w:val="20"/>
        </w:rPr>
        <w:t xml:space="preserve">•  Tailor to your governing documents and law. Align it with your articles of incorporation, bylaws, applicable state corporate or nonprofit statutes, and board policies.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E5A53"/>
        <w:sz w:val="18"/>
        <w:szCs w:val="18"/>
      </w:rPr>
      <w:t xml:space="preserve">Page </w:t>
    </w:r>
    <w:r>
      <w:rPr>
        <w:rFonts w:ascii="Arial" w:cs="Arial" w:eastAsia="Arial" w:hAnsi="Arial"/>
        <w:color w:val="5E5A53"/>
        <w:sz w:val="18"/>
        <w:szCs w:val="18"/>
      </w:rPr>
      <w:fldChar w:fldCharType="begin"/>
      <w:instrText xml:space="preserve">PAGE</w:instrText>
      <w:fldChar w:fldCharType="separate"/>
      <w:fldChar w:fldCharType="end"/>
    </w:r>
    <w:r>
      <w:rPr>
        <w:rFonts w:ascii="Arial" w:cs="Arial" w:eastAsia="Arial" w:hAnsi="Arial"/>
        <w:color w:val="5E5A53"/>
        <w:sz w:val="18"/>
        <w:szCs w:val="18"/>
      </w:rPr>
      <w:t xml:space="preserve"> of </w:t>
    </w:r>
    <w:r>
      <w:rPr>
        <w:rFonts w:ascii="Arial" w:cs="Arial" w:eastAsia="Arial" w:hAnsi="Arial"/>
        <w:color w:val="5E5A5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2A261E"/>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2026-09-24T04:11:40.781Z</dcterms:created>
  <dcterms:modified xsi:type="dcterms:W3CDTF">2026-09-24T04:11:40.781Z</dcterms:modified>
</cp:coreProperties>
</file>

<file path=docProps/custom.xml><?xml version="1.0" encoding="utf-8"?>
<Properties xmlns="http://schemas.openxmlformats.org/officeDocument/2006/custom-properties" xmlns:vt="http://schemas.openxmlformats.org/officeDocument/2006/docPropsVTypes"/>
</file>