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dashed" w:color="999999" w:sz="6"/>
              <w:left w:val="dashed" w:color="999999" w:sz="6"/>
              <w:bottom w:val="dashed" w:color="999999" w:sz="6"/>
              <w:right w:val="dashed" w:color="999999" w:sz="6"/>
            </w:tcBorders>
            <w:tcMar>
              <w:top w:type="dxa" w:w="280"/>
              <w:left w:type="dxa" w:w="120"/>
              <w:bottom w:type="dxa" w:w="280"/>
              <w:right w:type="dxa" w:w="120"/>
            </w:tcMar>
            <w:vAlign w:val="center"/>
          </w:tcPr>
          <w:p>
            <w:pPr>
              <w:jc w:val="center"/>
            </w:pPr>
            <w:r>
              <w:rPr>
                <w:i/>
                <w:iCs/>
                <w:color w:val="888888"/>
                <w:sz w:val="22"/>
                <w:szCs w:val="22"/>
              </w:rPr>
              <w:t xml:space="preserve">[ Organization logo ]</w:t>
            </w:r>
          </w:p>
        </w:tc>
      </w:tr>
    </w:tbl>
    <w:p>
      <w:pPr>
        <w:spacing w:before="60"/>
        <w:jc w:val="center"/>
      </w:pPr>
      <w:r>
        <w:rPr>
          <w:i/>
          <w:iCs/>
          <w:color w:val="888888"/>
          <w:sz w:val="16"/>
          <w:szCs w:val="16"/>
        </w:rPr>
        <w:t xml:space="preserve">Replace this placeholder with your organization’s logo.</w:t>
      </w:r>
    </w:p>
    <w:p>
      <w:pPr>
        <w:spacing w:before="240"/>
      </w:pPr>
      <w:r>
        <w:t xml:space="preserve"/>
      </w:r>
    </w:p>
    <w:p>
      <w:pPr>
        <w:spacing w:after="80" w:before="120"/>
      </w:pPr>
      <w:r>
        <w:rPr>
          <w:b/>
          <w:bCs/>
          <w:color w:val="6C9539"/>
          <w:spacing w:val="18"/>
          <w:sz w:val="18"/>
          <w:szCs w:val="18"/>
        </w:rPr>
        <w:t xml:space="preserve">TEMPLATE</w:t>
      </w:r>
    </w:p>
    <w:p>
      <w:pPr>
        <w:spacing w:after="120" w:before="60"/>
      </w:pPr>
      <w:r>
        <w:rPr>
          <w:rFonts w:ascii="Arial" w:cs="Arial" w:eastAsia="Arial" w:hAnsi="Arial"/>
          <w:b/>
          <w:bCs/>
          <w:sz w:val="36"/>
          <w:szCs w:val="36"/>
        </w:rPr>
        <w:t xml:space="preserve">Board Meeting Effectiveness Survey</w:t>
      </w:r>
    </w:p>
    <w:p>
      <w:pPr>
        <w:spacing w:after="240"/>
      </w:pPr>
      <w:r>
        <w:rPr>
          <w:color w:val="555555"/>
          <w:sz w:val="22"/>
          <w:szCs w:val="22"/>
        </w:rPr>
        <w:t xml:space="preserve">A short, anonymous survey that gives every director a voice on preparation, use of time, candor, and follow-through. Adapt it to your organization’s governing documents.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CCCCC" w:sz="1"/>
              <w:left w:val="single" w:color="CCCCCC" w:sz="1"/>
              <w:bottom w:val="single" w:color="CCCCCC" w:sz="1"/>
              <w:right w:val="single" w:color="CCCCCC" w:sz="1"/>
            </w:tcBorders>
            <w:tcMar>
              <w:top w:type="dxa" w:w="120"/>
              <w:left w:type="dxa" w:w="140"/>
              <w:bottom w:type="dxa" w:w="120"/>
              <w:right w:type="dxa" w:w="140"/>
            </w:tcMar>
          </w:tcPr>
          <w:p>
            <w:r>
              <w:rPr>
                <w:b/>
                <w:bCs/>
                <w:color w:val="2A261E"/>
                <w:sz w:val="20"/>
                <w:szCs w:val="20"/>
              </w:rPr>
              <w:t xml:space="preserve">Organization</w:t>
            </w:r>
          </w:p>
          <w:p>
            <w:pPr>
              <w:pBdr>
                <w:bottom w:val="dashed" w:color="AAAAAA" w:sz="4" w:space="1"/>
              </w:pBdr>
              <w:spacing w:before="60"/>
            </w:pPr>
            <w:r>
              <w:rPr>
                <w:color w:val="AAAAAA"/>
                <w:sz w:val="20"/>
                <w:szCs w:val="20"/>
              </w:rPr>
              <w:t xml:space="preserve"> </w:t>
            </w:r>
          </w:p>
        </w:tc>
        <w:tc>
          <w:tcPr>
            <w:tcW w:type="dxa" w:w="4680"/>
            <w:tcBorders>
              <w:top w:val="single" w:color="CCCCCC" w:sz="1"/>
              <w:left w:val="single" w:color="CCCCCC" w:sz="1"/>
              <w:bottom w:val="single" w:color="CCCCCC" w:sz="1"/>
              <w:right w:val="single" w:color="CCCCCC" w:sz="1"/>
            </w:tcBorders>
            <w:tcMar>
              <w:top w:type="dxa" w:w="120"/>
              <w:left w:type="dxa" w:w="140"/>
              <w:bottom w:type="dxa" w:w="120"/>
              <w:right w:type="dxa" w:w="140"/>
            </w:tcMar>
          </w:tcPr>
          <w:p>
            <w:r>
              <w:rPr>
                <w:b/>
                <w:bCs/>
                <w:color w:val="2A261E"/>
                <w:sz w:val="20"/>
                <w:szCs w:val="20"/>
              </w:rPr>
              <w:t xml:space="preserve">Survey period</w:t>
            </w:r>
          </w:p>
          <w:p>
            <w:pPr>
              <w:pBdr>
                <w:bottom w:val="dashed" w:color="AAAAAA" w:sz="4" w:space="1"/>
              </w:pBdr>
              <w:spacing w:before="60"/>
            </w:pPr>
            <w:r>
              <w:rPr>
                <w:color w:val="AAAAAA"/>
                <w:sz w:val="20"/>
                <w:szCs w:val="20"/>
              </w:rPr>
              <w:t xml:space="preserve"> </w:t>
            </w:r>
          </w:p>
        </w:tc>
      </w:tr>
      <w:tr>
        <w:tc>
          <w:tcPr>
            <w:tcW w:type="dxa" w:w="4680"/>
            <w:tcBorders>
              <w:top w:val="single" w:color="CCCCCC" w:sz="1"/>
              <w:left w:val="single" w:color="CCCCCC" w:sz="1"/>
              <w:bottom w:val="single" w:color="CCCCCC" w:sz="1"/>
              <w:right w:val="single" w:color="CCCCCC" w:sz="1"/>
            </w:tcBorders>
            <w:tcMar>
              <w:top w:type="dxa" w:w="120"/>
              <w:left w:type="dxa" w:w="140"/>
              <w:bottom w:type="dxa" w:w="120"/>
              <w:right w:type="dxa" w:w="140"/>
            </w:tcMar>
          </w:tcPr>
          <w:p>
            <w:r>
              <w:rPr>
                <w:b/>
                <w:bCs/>
                <w:color w:val="2A261E"/>
                <w:sz w:val="20"/>
                <w:szCs w:val="20"/>
              </w:rPr>
              <w:t xml:space="preserve">Administered by</w:t>
            </w:r>
          </w:p>
          <w:p>
            <w:pPr>
              <w:pBdr>
                <w:bottom w:val="dashed" w:color="AAAAAA" w:sz="4" w:space="1"/>
              </w:pBdr>
              <w:spacing w:before="60"/>
            </w:pPr>
            <w:r>
              <w:rPr>
                <w:color w:val="AAAAAA"/>
                <w:sz w:val="20"/>
                <w:szCs w:val="20"/>
              </w:rPr>
              <w:t xml:space="preserve"> </w:t>
            </w:r>
          </w:p>
        </w:tc>
        <w:tc>
          <w:tcPr>
            <w:tcW w:type="dxa" w:w="4680"/>
            <w:tcBorders>
              <w:top w:val="single" w:color="CCCCCC" w:sz="1"/>
              <w:left w:val="single" w:color="CCCCCC" w:sz="1"/>
              <w:bottom w:val="single" w:color="CCCCCC" w:sz="1"/>
              <w:right w:val="single" w:color="CCCCCC" w:sz="1"/>
            </w:tcBorders>
            <w:tcMar>
              <w:top w:type="dxa" w:w="120"/>
              <w:left w:type="dxa" w:w="140"/>
              <w:bottom w:type="dxa" w:w="120"/>
              <w:right w:type="dxa" w:w="140"/>
            </w:tcMar>
          </w:tcPr>
          <w:p>
            <w:r>
              <w:rPr>
                <w:b/>
                <w:bCs/>
                <w:color w:val="2A261E"/>
                <w:sz w:val="20"/>
                <w:szCs w:val="20"/>
              </w:rPr>
              <w:t xml:space="preserve">Results reviewed by</w:t>
            </w:r>
          </w:p>
          <w:p>
            <w:pPr>
              <w:pBdr>
                <w:bottom w:val="dashed" w:color="AAAAAA" w:sz="4" w:space="1"/>
              </w:pBdr>
              <w:spacing w:before="60"/>
            </w:pPr>
            <w:r>
              <w:rPr>
                <w:color w:val="AAAAAA"/>
                <w:sz w:val="20"/>
                <w:szCs w:val="20"/>
              </w:rPr>
              <w:t xml:space="preserve"> </w:t>
            </w:r>
          </w:p>
        </w:tc>
      </w:tr>
    </w:tbl>
    <w:p>
      <w:pPr>
        <w:spacing w:after="160" w:before="300"/>
      </w:pPr>
      <w:r>
        <w:rPr>
          <w:rFonts w:ascii="Arial" w:cs="Arial" w:eastAsia="Arial" w:hAnsi="Arial"/>
          <w:b/>
          <w:bCs/>
          <w:color w:val="2A261E"/>
          <w:sz w:val="26"/>
          <w:szCs w:val="26"/>
        </w:rPr>
        <w:t xml:space="preserve">1. How to administer it</w:t>
      </w:r>
    </w:p>
    <w:p>
      <w:pPr>
        <w:spacing w:after="140"/>
      </w:pPr>
      <w:r>
        <w:rPr>
          <w:color w:val="5E5A53"/>
          <w:sz w:val="20"/>
          <w:szCs w:val="20"/>
        </w:rPr>
        <w:t xml:space="preserve">Run the survey anonymously once a year, or after a period of change. The chair or lead director sponsors it; the corporate secretary or an outside advisor collects responses so no individual’s answers are identifiable. Every director completes it, including the chair.</w:t>
      </w:r>
    </w:p>
    <w:p>
      <w:pPr>
        <w:spacing w:after="140"/>
      </w:pPr>
      <w:r>
        <w:rPr>
          <w:color w:val="2A261E"/>
          <w:sz w:val="20"/>
          <w:szCs w:val="20"/>
        </w:rPr>
        <w:t xml:space="preserve">Sponsor (chair / lead director):  </w:t>
      </w:r>
      <w:r>
        <w:rPr>
          <w:color w:val="AAAAAA"/>
          <w:sz w:val="20"/>
          <w:szCs w:val="20"/>
        </w:rPr>
        <w:t xml:space="preserve">______________________________________</w:t>
      </w:r>
    </w:p>
    <w:p>
      <w:pPr>
        <w:spacing w:after="140"/>
      </w:pPr>
      <w:r>
        <w:rPr>
          <w:color w:val="2A261E"/>
          <w:sz w:val="20"/>
          <w:szCs w:val="20"/>
        </w:rPr>
        <w:t xml:space="preserve">Responses collected by:  </w:t>
      </w:r>
      <w:r>
        <w:rPr>
          <w:color w:val="AAAAAA"/>
          <w:sz w:val="20"/>
          <w:szCs w:val="20"/>
        </w:rPr>
        <w:t xml:space="preserve">_______________________________________________</w:t>
      </w:r>
    </w:p>
    <w:p>
      <w:pPr>
        <w:spacing w:after="140"/>
      </w:pPr>
      <w:r>
        <w:rPr>
          <w:color w:val="2A261E"/>
          <w:sz w:val="20"/>
          <w:szCs w:val="20"/>
        </w:rPr>
        <w:t xml:space="preserve">Deadline for responses:  </w:t>
      </w:r>
      <w:r>
        <w:rPr>
          <w:color w:val="AAAAAA"/>
          <w:sz w:val="20"/>
          <w:szCs w:val="20"/>
        </w:rPr>
        <w:t xml:space="preserve">_______________________________________________</w:t>
      </w:r>
    </w:p>
    <w:p>
      <w:pPr>
        <w:spacing w:after="160" w:before="300"/>
      </w:pPr>
      <w:r>
        <w:rPr>
          <w:rFonts w:ascii="Arial" w:cs="Arial" w:eastAsia="Arial" w:hAnsi="Arial"/>
          <w:b/>
          <w:bCs/>
          <w:color w:val="2A261E"/>
          <w:sz w:val="26"/>
          <w:szCs w:val="26"/>
        </w:rPr>
        <w:t xml:space="preserve">2. Rating scale</w:t>
      </w:r>
    </w:p>
    <w:p>
      <w:pPr>
        <w:spacing w:after="140"/>
      </w:pPr>
      <w:r>
        <w:rPr>
          <w:color w:val="5E5A53"/>
          <w:sz w:val="20"/>
          <w:szCs w:val="20"/>
        </w:rPr>
        <w:t xml:space="preserve">Each director rates the twelve statements below based on the board’s meetings over the past year. Encourage honest ratings — a 5 for everything tells the board nothing.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888888" w:sz="1"/>
              <w:left w:val="single" w:color="888888" w:sz="1"/>
              <w:bottom w:val="single" w:color="888888" w:sz="1"/>
              <w:right w:val="single" w:color="888888" w:sz="1"/>
            </w:tcBorders>
            <w:shd w:fill="F2F0EC" w:val="clear"/>
            <w:tcMar>
              <w:top w:type="dxa" w:w="80"/>
              <w:left w:type="dxa" w:w="100"/>
              <w:bottom w:type="dxa" w:w="80"/>
              <w:right w:type="dxa" w:w="100"/>
            </w:tcMar>
          </w:tcPr>
          <w:p>
            <w:r>
              <w:rPr>
                <w:b/>
                <w:bCs/>
                <w:color w:val="6E6A63"/>
                <w:sz w:val="16"/>
                <w:szCs w:val="16"/>
              </w:rPr>
              <w:t xml:space="preserve">RATING</w:t>
            </w:r>
          </w:p>
        </w:tc>
        <w:tc>
          <w:tcPr>
            <w:tcW w:type="dxa" w:w="6960"/>
            <w:tcBorders>
              <w:top w:val="single" w:color="888888" w:sz="1"/>
              <w:left w:val="single" w:color="888888" w:sz="1"/>
              <w:bottom w:val="single" w:color="888888" w:sz="1"/>
              <w:right w:val="single" w:color="888888" w:sz="1"/>
            </w:tcBorders>
            <w:shd w:fill="F2F0EC" w:val="clear"/>
            <w:tcMar>
              <w:top w:type="dxa" w:w="80"/>
              <w:left w:type="dxa" w:w="100"/>
              <w:bottom w:type="dxa" w:w="80"/>
              <w:right w:type="dxa" w:w="100"/>
            </w:tcMar>
          </w:tcPr>
          <w:p>
            <w:r>
              <w:rPr>
                <w:b/>
                <w:bCs/>
                <w:color w:val="6E6A63"/>
                <w:sz w:val="16"/>
                <w:szCs w:val="16"/>
              </w:rPr>
              <w:t xml:space="preserve">MEANING</w:t>
            </w:r>
          </w:p>
        </w:tc>
      </w:tr>
      <w:tr>
        <w:tc>
          <w:tcPr>
            <w:tcW w:type="dxa" w:w="24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5 — Strongly agree</w:t>
            </w:r>
          </w:p>
        </w:tc>
        <w:tc>
          <w:tcPr>
            <w:tcW w:type="dxa" w:w="69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Consistently true of our meetings.</w:t>
            </w:r>
          </w:p>
        </w:tc>
      </w:tr>
      <w:tr>
        <w:tc>
          <w:tcPr>
            <w:tcW w:type="dxa" w:w="24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4 — Agree</w:t>
            </w:r>
          </w:p>
        </w:tc>
        <w:tc>
          <w:tcPr>
            <w:tcW w:type="dxa" w:w="69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Usually true, with occasional lapses.</w:t>
            </w:r>
          </w:p>
        </w:tc>
      </w:tr>
      <w:tr>
        <w:tc>
          <w:tcPr>
            <w:tcW w:type="dxa" w:w="24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3 — Neutral</w:t>
            </w:r>
          </w:p>
        </w:tc>
        <w:tc>
          <w:tcPr>
            <w:tcW w:type="dxa" w:w="69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Sometimes true, sometimes not.</w:t>
            </w:r>
          </w:p>
        </w:tc>
      </w:tr>
      <w:tr>
        <w:tc>
          <w:tcPr>
            <w:tcW w:type="dxa" w:w="24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2 — Disagree</w:t>
            </w:r>
          </w:p>
        </w:tc>
        <w:tc>
          <w:tcPr>
            <w:tcW w:type="dxa" w:w="69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Rarely true; improvement needed.</w:t>
            </w:r>
          </w:p>
        </w:tc>
      </w:tr>
      <w:tr>
        <w:tc>
          <w:tcPr>
            <w:tcW w:type="dxa" w:w="24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b/>
                <w:bCs/>
                <w:sz w:val="20"/>
                <w:szCs w:val="20"/>
              </w:rPr>
              <w:t xml:space="preserve">1 — Strongly disagree</w:t>
            </w:r>
          </w:p>
        </w:tc>
        <w:tc>
          <w:tcPr>
            <w:tcW w:type="dxa" w:w="69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Not true of our meetings; a clear gap.</w:t>
            </w:r>
          </w:p>
        </w:tc>
      </w:tr>
    </w:tbl>
    <w:p>
      <w:pPr>
        <w:spacing w:after="160" w:before="300"/>
      </w:pPr>
      <w:r>
        <w:rPr>
          <w:rFonts w:ascii="Arial" w:cs="Arial" w:eastAsia="Arial" w:hAnsi="Arial"/>
          <w:b/>
          <w:bCs/>
          <w:color w:val="2A261E"/>
          <w:sz w:val="26"/>
          <w:szCs w:val="26"/>
        </w:rPr>
        <w:t xml:space="preserve">3. Survey statements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7360"/>
        <w:gridCol w:w="1400"/>
      </w:tblGrid>
      <w:tr>
        <w:trPr>
          <w:tblHeader/>
        </w:trPr>
        <w:tc>
          <w:tcPr>
            <w:tcW w:type="dxa" w:w="600"/>
            <w:tcBorders>
              <w:top w:val="single" w:color="888888" w:sz="1"/>
              <w:left w:val="single" w:color="888888" w:sz="1"/>
              <w:bottom w:val="single" w:color="888888" w:sz="1"/>
              <w:right w:val="single" w:color="888888" w:sz="1"/>
            </w:tcBorders>
            <w:shd w:fill="F2F0EC" w:val="clear"/>
            <w:tcMar>
              <w:top w:type="dxa" w:w="80"/>
              <w:left w:type="dxa" w:w="100"/>
              <w:bottom w:type="dxa" w:w="80"/>
              <w:right w:type="dxa" w:w="100"/>
            </w:tcMar>
          </w:tcPr>
          <w:p>
            <w:r>
              <w:rPr>
                <w:b/>
                <w:bCs/>
                <w:color w:val="6E6A63"/>
                <w:sz w:val="16"/>
                <w:szCs w:val="16"/>
              </w:rPr>
              <w:t xml:space="preserve">#</w:t>
            </w:r>
          </w:p>
        </w:tc>
        <w:tc>
          <w:tcPr>
            <w:tcW w:type="dxa" w:w="7360"/>
            <w:tcBorders>
              <w:top w:val="single" w:color="888888" w:sz="1"/>
              <w:left w:val="single" w:color="888888" w:sz="1"/>
              <w:bottom w:val="single" w:color="888888" w:sz="1"/>
              <w:right w:val="single" w:color="888888" w:sz="1"/>
            </w:tcBorders>
            <w:shd w:fill="F2F0EC" w:val="clear"/>
            <w:tcMar>
              <w:top w:type="dxa" w:w="80"/>
              <w:left w:type="dxa" w:w="100"/>
              <w:bottom w:type="dxa" w:w="80"/>
              <w:right w:type="dxa" w:w="100"/>
            </w:tcMar>
          </w:tcPr>
          <w:p>
            <w:r>
              <w:rPr>
                <w:b/>
                <w:bCs/>
                <w:color w:val="6E6A63"/>
                <w:sz w:val="16"/>
                <w:szCs w:val="16"/>
              </w:rPr>
              <w:t xml:space="preserve">STATEMENT</w:t>
            </w:r>
          </w:p>
        </w:tc>
        <w:tc>
          <w:tcPr>
            <w:tcW w:type="dxa" w:w="1400"/>
            <w:tcBorders>
              <w:top w:val="single" w:color="888888" w:sz="1"/>
              <w:left w:val="single" w:color="888888" w:sz="1"/>
              <w:bottom w:val="single" w:color="888888" w:sz="1"/>
              <w:right w:val="single" w:color="888888" w:sz="1"/>
            </w:tcBorders>
            <w:shd w:fill="F2F0EC" w:val="clear"/>
            <w:tcMar>
              <w:top w:type="dxa" w:w="80"/>
              <w:left w:type="dxa" w:w="100"/>
              <w:bottom w:type="dxa" w:w="80"/>
              <w:right w:type="dxa" w:w="100"/>
            </w:tcMar>
          </w:tcPr>
          <w:p>
            <w:r>
              <w:rPr>
                <w:b/>
                <w:bCs/>
                <w:color w:val="6E6A63"/>
                <w:sz w:val="16"/>
                <w:szCs w:val="16"/>
              </w:rPr>
              <w:t xml:space="preserve">RATING (1–5)</w:t>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1</w:t>
            </w:r>
          </w:p>
        </w:tc>
        <w:tc>
          <w:tcPr>
            <w:tcW w:type="dxa" w:w="73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The agenda and pre-read materials arrive early enough for me to prepare properly.</w:t>
            </w:r>
          </w:p>
        </w:tc>
        <w:tc>
          <w:tcPr>
            <w:tcW w:type="dxa" w:w="14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2</w:t>
            </w:r>
          </w:p>
        </w:tc>
        <w:tc>
          <w:tcPr>
            <w:tcW w:type="dxa" w:w="73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Meeting materials are concise, clear, and focused on what the board must decide or discuss.</w:t>
            </w:r>
          </w:p>
        </w:tc>
        <w:tc>
          <w:tcPr>
            <w:tcW w:type="dxa" w:w="14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3</w:t>
            </w:r>
          </w:p>
        </w:tc>
        <w:tc>
          <w:tcPr>
            <w:tcW w:type="dxa" w:w="73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We spend most of our meeting time on strategic and forward-looking matters, not routine reports.</w:t>
            </w:r>
          </w:p>
        </w:tc>
        <w:tc>
          <w:tcPr>
            <w:tcW w:type="dxa" w:w="14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4</w:t>
            </w:r>
          </w:p>
        </w:tc>
        <w:tc>
          <w:tcPr>
            <w:tcW w:type="dxa" w:w="73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The consent agenda is used well, so routine approvals do not consume discussion time.</w:t>
            </w:r>
          </w:p>
        </w:tc>
        <w:tc>
          <w:tcPr>
            <w:tcW w:type="dxa" w:w="14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5</w:t>
            </w:r>
          </w:p>
        </w:tc>
        <w:tc>
          <w:tcPr>
            <w:tcW w:type="dxa" w:w="73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The chair runs the meeting efficiently — starting and ending on time and keeping discussion focused.</w:t>
            </w:r>
          </w:p>
        </w:tc>
        <w:tc>
          <w:tcPr>
            <w:tcW w:type="dxa" w:w="14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6</w:t>
            </w:r>
          </w:p>
        </w:tc>
        <w:tc>
          <w:tcPr>
            <w:tcW w:type="dxa" w:w="73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Every director has a genuine opportunity to contribute, and no one or two voices dominate.</w:t>
            </w:r>
          </w:p>
        </w:tc>
        <w:tc>
          <w:tcPr>
            <w:tcW w:type="dxa" w:w="14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7</w:t>
            </w:r>
          </w:p>
        </w:tc>
        <w:tc>
          <w:tcPr>
            <w:tcW w:type="dxa" w:w="73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Directors are candid with one another; difficult questions are asked and welcomed.</w:t>
            </w:r>
          </w:p>
        </w:tc>
        <w:tc>
          <w:tcPr>
            <w:tcW w:type="dxa" w:w="14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8</w:t>
            </w:r>
          </w:p>
        </w:tc>
        <w:tc>
          <w:tcPr>
            <w:tcW w:type="dxa" w:w="73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Management is transparent with the board, including about problems and bad news.</w:t>
            </w:r>
          </w:p>
        </w:tc>
        <w:tc>
          <w:tcPr>
            <w:tcW w:type="dxa" w:w="14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9</w:t>
            </w:r>
          </w:p>
        </w:tc>
        <w:tc>
          <w:tcPr>
            <w:tcW w:type="dxa" w:w="73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Our discussions lead to clear decisions, with the reasons recorded.</w:t>
            </w:r>
          </w:p>
        </w:tc>
        <w:tc>
          <w:tcPr>
            <w:tcW w:type="dxa" w:w="14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10</w:t>
            </w:r>
          </w:p>
        </w:tc>
        <w:tc>
          <w:tcPr>
            <w:tcW w:type="dxa" w:w="73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Action items have named owners and due dates, and follow-through is reviewed at the next meeting.</w:t>
            </w:r>
          </w:p>
        </w:tc>
        <w:tc>
          <w:tcPr>
            <w:tcW w:type="dxa" w:w="14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11</w:t>
            </w:r>
          </w:p>
        </w:tc>
        <w:tc>
          <w:tcPr>
            <w:tcW w:type="dxa" w:w="73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Executive sessions are held regularly and used well.</w:t>
            </w:r>
          </w:p>
        </w:tc>
        <w:tc>
          <w:tcPr>
            <w:tcW w:type="dxa" w:w="14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
            </w:r>
          </w:p>
        </w:tc>
      </w:tr>
      <w:tr>
        <w:tc>
          <w:tcPr>
            <w:tcW w:type="dxa" w:w="6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color w:val="5E5A53"/>
                <w:sz w:val="20"/>
                <w:szCs w:val="20"/>
              </w:rPr>
              <w:t xml:space="preserve">12</w:t>
            </w:r>
          </w:p>
        </w:tc>
        <w:tc>
          <w:tcPr>
            <w:tcW w:type="dxa" w:w="736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I leave our meetings believing the time was well spent.</w:t>
            </w:r>
          </w:p>
        </w:tc>
        <w:tc>
          <w:tcPr>
            <w:tcW w:type="dxa" w:w="1400"/>
            <w:tcBorders>
              <w:top w:val="single" w:color="CCCCCC" w:sz="1"/>
              <w:left w:val="single" w:color="CCCCCC" w:sz="1"/>
              <w:bottom w:val="single" w:color="CCCCCC" w:sz="1"/>
              <w:right w:val="single" w:color="CCCCCC" w:sz="1"/>
            </w:tcBorders>
            <w:tcMar>
              <w:top w:type="dxa" w:w="100"/>
              <w:left w:type="dxa" w:w="100"/>
              <w:bottom w:type="dxa" w:w="100"/>
              <w:right w:type="dxa" w:w="100"/>
            </w:tcMar>
            <w:vAlign w:val="top"/>
          </w:tcPr>
          <w:p>
            <w:r>
              <w:rPr>
                <w:sz w:val="20"/>
                <w:szCs w:val="20"/>
              </w:rPr>
              <w:t xml:space="preserve"/>
            </w:r>
          </w:p>
        </w:tc>
      </w:tr>
    </w:tbl>
    <w:p>
      <w:pPr>
        <w:spacing w:after="160" w:before="300"/>
      </w:pPr>
      <w:r>
        <w:rPr>
          <w:rFonts w:ascii="Arial" w:cs="Arial" w:eastAsia="Arial" w:hAnsi="Arial"/>
          <w:b/>
          <w:bCs/>
          <w:color w:val="2A261E"/>
          <w:sz w:val="26"/>
          <w:szCs w:val="26"/>
        </w:rPr>
        <w:t xml:space="preserve">4. Open questions</w:t>
      </w:r>
    </w:p>
    <w:p>
      <w:pPr>
        <w:spacing w:after="140"/>
      </w:pPr>
      <w:r>
        <w:rPr>
          <w:color w:val="5E5A53"/>
          <w:sz w:val="20"/>
          <w:szCs w:val="20"/>
        </w:rPr>
        <w:t xml:space="preserve">Three short written answers round out the picture. These often surface the most useful feedback.</w:t>
      </w:r>
    </w:p>
    <w:p>
      <w:pPr>
        <w:spacing w:after="140"/>
      </w:pPr>
      <w:r>
        <w:rPr>
          <w:color w:val="2A261E"/>
          <w:sz w:val="20"/>
          <w:szCs w:val="20"/>
        </w:rPr>
        <w:t xml:space="preserve">What is the one thing that would most improve our meetings?  </w:t>
      </w:r>
      <w:r>
        <w:rPr>
          <w:color w:val="AAAAAA"/>
          <w:sz w:val="20"/>
          <w:szCs w:val="20"/>
        </w:rPr>
        <w:t xml:space="preserve">____________</w:t>
      </w:r>
    </w:p>
    <w:p>
      <w:pPr>
        <w:spacing w:after="140"/>
      </w:pPr>
      <w:r>
        <w:rPr>
          <w:color w:val="2A261E"/>
          <w:sz w:val="20"/>
          <w:szCs w:val="20"/>
        </w:rPr>
        <w:t xml:space="preserve">What should we spend more time on?  </w:t>
      </w:r>
      <w:r>
        <w:rPr>
          <w:color w:val="AAAAAA"/>
          <w:sz w:val="20"/>
          <w:szCs w:val="20"/>
        </w:rPr>
        <w:t xml:space="preserve">____________________________________</w:t>
      </w:r>
    </w:p>
    <w:p>
      <w:pPr>
        <w:spacing w:after="140"/>
      </w:pPr>
      <w:r>
        <w:rPr>
          <w:color w:val="2A261E"/>
          <w:sz w:val="20"/>
          <w:szCs w:val="20"/>
        </w:rPr>
        <w:t xml:space="preserve">What should we stop doing?  </w:t>
      </w:r>
      <w:r>
        <w:rPr>
          <w:color w:val="AAAAAA"/>
          <w:sz w:val="20"/>
          <w:szCs w:val="20"/>
        </w:rPr>
        <w:t xml:space="preserve">____________________________________________</w:t>
      </w:r>
    </w:p>
    <w:p>
      <w:pPr>
        <w:spacing w:after="160" w:before="300"/>
      </w:pPr>
      <w:r>
        <w:rPr>
          <w:rFonts w:ascii="Arial" w:cs="Arial" w:eastAsia="Arial" w:hAnsi="Arial"/>
          <w:b/>
          <w:bCs/>
          <w:color w:val="2A261E"/>
          <w:sz w:val="26"/>
          <w:szCs w:val="26"/>
        </w:rPr>
        <w:t xml:space="preserve">5. Scoring and interpretation</w:t>
      </w:r>
    </w:p>
    <w:p>
      <w:pPr>
        <w:spacing w:after="140"/>
      </w:pPr>
      <w:r>
        <w:rPr>
          <w:color w:val="5E5A53"/>
          <w:sz w:val="20"/>
          <w:szCs w:val="20"/>
        </w:rPr>
        <w:t xml:space="preserve">Average the ratings for each statement. Treat any statement averaging below 3.5 as a candidate for change, and pay attention to wide spreads — a statement some directors rate 5 and others rate 2 is a conversation worth having.</w:t>
      </w:r>
    </w:p>
    <w:p>
      <w:pPr>
        <w:spacing w:after="160" w:before="300"/>
      </w:pPr>
      <w:r>
        <w:rPr>
          <w:rFonts w:ascii="Arial" w:cs="Arial" w:eastAsia="Arial" w:hAnsi="Arial"/>
          <w:b/>
          <w:bCs/>
          <w:color w:val="2A261E"/>
          <w:sz w:val="26"/>
          <w:szCs w:val="26"/>
        </w:rPr>
        <w:t xml:space="preserve">6. Reviewing and acting on the results</w:t>
      </w:r>
    </w:p>
    <w:p>
      <w:pPr>
        <w:spacing w:after="140"/>
      </w:pPr>
      <w:r>
        <w:rPr>
          <w:color w:val="5E5A53"/>
          <w:sz w:val="20"/>
          <w:szCs w:val="20"/>
        </w:rPr>
        <w:t xml:space="preserve">The chair reviews the compiled results with the full board in executive session, then agrees two or three concrete changes to how meetings are run. Record the changes, assign an owner, and revisit them at the next survey.</w:t>
      </w:r>
    </w:p>
    <w:p>
      <w:pPr>
        <w:spacing w:after="140"/>
      </w:pPr>
      <w:r>
        <w:rPr>
          <w:color w:val="2A261E"/>
          <w:sz w:val="20"/>
          <w:szCs w:val="20"/>
        </w:rPr>
        <w:t xml:space="preserve">Change 1 (owner / date):  </w:t>
      </w:r>
      <w:r>
        <w:rPr>
          <w:color w:val="AAAAAA"/>
          <w:sz w:val="20"/>
          <w:szCs w:val="20"/>
        </w:rPr>
        <w:t xml:space="preserve">______________________________________________</w:t>
      </w:r>
    </w:p>
    <w:p>
      <w:pPr>
        <w:spacing w:after="140"/>
      </w:pPr>
      <w:r>
        <w:rPr>
          <w:color w:val="2A261E"/>
          <w:sz w:val="20"/>
          <w:szCs w:val="20"/>
        </w:rPr>
        <w:t xml:space="preserve">Change 2 (owner / date):  </w:t>
      </w:r>
      <w:r>
        <w:rPr>
          <w:color w:val="AAAAAA"/>
          <w:sz w:val="20"/>
          <w:szCs w:val="20"/>
        </w:rPr>
        <w:t xml:space="preserve">______________________________________________</w:t>
      </w:r>
    </w:p>
    <w:p>
      <w:pPr>
        <w:spacing w:after="140"/>
      </w:pPr>
      <w:r>
        <w:rPr>
          <w:color w:val="2A261E"/>
          <w:sz w:val="20"/>
          <w:szCs w:val="20"/>
        </w:rPr>
        <w:t xml:space="preserve">Change 3 (owner / date):  </w:t>
      </w:r>
      <w:r>
        <w:rPr>
          <w:color w:val="AAAAAA"/>
          <w:sz w:val="20"/>
          <w:szCs w:val="20"/>
        </w:rPr>
        <w:t xml:space="preserve">______________________________________________</w:t>
      </w:r>
    </w:p>
    <w:p>
      <w:pPr>
        <w:spacing w:after="160" w:before="300"/>
      </w:pPr>
      <w:r>
        <w:rPr>
          <w:rFonts w:ascii="Arial" w:cs="Arial" w:eastAsia="Arial" w:hAnsi="Arial"/>
          <w:b/>
          <w:bCs/>
          <w:color w:val="2A261E"/>
          <w:sz w:val="26"/>
          <w:szCs w:val="26"/>
        </w:rPr>
        <w:t xml:space="preserve">Guidance notes</w:t>
      </w:r>
    </w:p>
    <w:p>
      <w:pPr>
        <w:pStyle w:val="ListParagraph"/>
        <w:numPr>
          <w:ilvl w:val="0"/>
          <w:numId w:val="2"/>
        </w:numPr>
        <w:spacing w:after="120"/>
      </w:pPr>
      <w:r>
        <w:rPr>
          <w:color w:val="5E5A53"/>
          <w:sz w:val="20"/>
          <w:szCs w:val="20"/>
        </w:rPr>
        <w:t xml:space="preserve">Keep it anonymous. Directors rate honestly only when individual answers cannot be traced back to them.</w:t>
      </w:r>
    </w:p>
    <w:p>
      <w:pPr>
        <w:pStyle w:val="ListParagraph"/>
        <w:numPr>
          <w:ilvl w:val="0"/>
          <w:numId w:val="2"/>
        </w:numPr>
        <w:spacing w:after="120"/>
      </w:pPr>
      <w:r>
        <w:rPr>
          <w:color w:val="5E5A53"/>
          <w:sz w:val="20"/>
          <w:szCs w:val="20"/>
        </w:rPr>
        <w:t xml:space="preserve">Keep it short. Twelve statements and three open questions take under fifteen minutes; longer surveys get superficial answers.</w:t>
      </w:r>
    </w:p>
    <w:p>
      <w:pPr>
        <w:pStyle w:val="ListParagraph"/>
        <w:numPr>
          <w:ilvl w:val="0"/>
          <w:numId w:val="2"/>
        </w:numPr>
        <w:spacing w:after="120"/>
      </w:pPr>
      <w:r>
        <w:rPr>
          <w:color w:val="5E5A53"/>
          <w:sz w:val="20"/>
          <w:szCs w:val="20"/>
        </w:rPr>
        <w:t xml:space="preserve">Report themes, not individual comments, when written answers could identify a director.</w:t>
      </w:r>
    </w:p>
    <w:p>
      <w:pPr>
        <w:pStyle w:val="ListParagraph"/>
        <w:numPr>
          <w:ilvl w:val="0"/>
          <w:numId w:val="2"/>
        </w:numPr>
        <w:spacing w:after="120"/>
      </w:pPr>
      <w:r>
        <w:rPr>
          <w:color w:val="5E5A53"/>
          <w:sz w:val="20"/>
          <w:szCs w:val="20"/>
        </w:rPr>
        <w:t xml:space="preserve">Act on at least two findings. A survey that changes nothing teaches directors not to bother.</w:t>
      </w:r>
    </w:p>
    <w:p>
      <w:pPr>
        <w:pStyle w:val="ListParagraph"/>
        <w:numPr>
          <w:ilvl w:val="0"/>
          <w:numId w:val="2"/>
        </w:numPr>
        <w:spacing w:after="120"/>
      </w:pPr>
      <w:r>
        <w:rPr>
          <w:color w:val="5E5A53"/>
          <w:sz w:val="20"/>
          <w:szCs w:val="20"/>
        </w:rPr>
        <w:t xml:space="preserve">Repeat on the same cycle each year so the board can see whether the changes worked.</w:t>
      </w:r>
    </w:p>
    <w:p>
      <w:pPr>
        <w:spacing w:before="300"/>
      </w:pPr>
      <w:r>
        <w:rPr>
          <w:i/>
          <w:iCs/>
          <w:color w:val="7A766F"/>
          <w:sz w:val="16"/>
          <w:szCs w:val="16"/>
        </w:rPr>
        <w:t xml:space="preserve">This survey is provided for educational purposes only and does not constitute legal, tax, accounting, or compliance advice, nor does it create an attorney-client or advisory relationship. Adapt it to your organization’s governing documents and applicable law, and have qualified legal counsel review it before your board adopts or relies on it.</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r>
    <w:r>
      <w:rPr>
        <w:color w:val="888888"/>
        <w:sz w:val="16"/>
        <w:szCs w:val="16"/>
      </w:rPr>
      <w:fldChar w:fldCharType="begin"/>
      <w:instrText xml:space="preserve">PAGE</w:instrText>
      <w:fldChar w:fldCharType="separate"/>
      <w:fldChar w:fldCharType="end"/>
    </w:r>
    <w:r>
      <w:rPr>
        <w:color w:val="888888"/>
        <w:sz w:val="16"/>
        <w:szCs w:val="16"/>
      </w:rPr>
      <w:t xml:space="preserve"> of </w:t>
    </w:r>
    <w:r>
      <w:rPr>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2026-09-24T02:13:25.485Z</dcterms:created>
  <dcterms:modified xsi:type="dcterms:W3CDTF">2026-09-24T02:13:25.485Z</dcterms:modified>
</cp:coreProperties>
</file>

<file path=docProps/custom.xml><?xml version="1.0" encoding="utf-8"?>
<Properties xmlns="http://schemas.openxmlformats.org/officeDocument/2006/custom-properties" xmlns:vt="http://schemas.openxmlformats.org/officeDocument/2006/docPropsVTypes"/>
</file>