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LEONIDAS CONSULTING</w:t>
      </w:r>
    </w:p>
    <w:p>
      <w:pPr>
        <w:pStyle w:val="Heading1"/>
        <w:spacing w:after="100"/>
      </w:pPr>
      <w:r>
        <w:t xml:space="preserve">Board Meeting Preparation Template</w:t>
      </w:r>
    </w:p>
    <w:p>
      <w:pPr>
        <w:spacing w:after="100"/>
      </w:pPr>
      <w:r>
        <w:t xml:space="preserve">Corporate board — strategy, oversight, and decision preparation</w:t>
      </w:r>
    </w:p>
    <w:p>
      <w:pPr>
        <w:spacing w:after="100"/>
      </w:pPr>
      <w:r>
        <w:t xml:space="preserve">The best use of a board’s time begins before the meeting. Set the priority questions, prepare directors to discuss them, and reserve time for clear decisions — rather than repeating reports. This worksheet turns those principles into a preparation plan.</w:t>
      </w:r>
    </w:p>
    <w:p>
      <w:pPr>
        <w:spacing w:after="100"/>
      </w:pPr>
      <w:r>
        <w:t xml:space="preserve">Organization: ____________________________________________________</w:t>
      </w:r>
    </w:p>
    <w:p>
      <w:pPr>
        <w:spacing w:after="100"/>
      </w:pPr>
      <w:r>
        <w:t xml:space="preserve">Meeting date and time: ____________________________________________________</w:t>
      </w:r>
    </w:p>
    <w:p>
      <w:pPr>
        <w:spacing w:after="100"/>
      </w:pPr>
      <w:r>
        <w:t xml:space="preserve">Board chair: ____________________________________________________</w:t>
      </w:r>
    </w:p>
    <w:p>
      <w:pPr>
        <w:spacing w:after="100"/>
      </w:pPr>
      <w:r>
        <w:t xml:space="preserve">Chief executive: ____________________________________________________</w:t>
      </w:r>
    </w:p>
    <w:p>
      <w:pPr>
        <w:spacing w:after="100"/>
      </w:pPr>
      <w:r>
        <w:t xml:space="preserve">Prepared by: ____________________________________________________</w:t>
      </w:r>
    </w:p>
    <w:p>
      <w:pPr>
        <w:spacing w:after="100"/>
      </w:pPr>
      <w:r>
        <w:t xml:space="preserve">Packet distribution date: ____________________________________________________</w:t>
      </w:r>
    </w:p>
    <w:p>
      <w:pPr>
        <w:pStyle w:val="Heading2"/>
        <w:spacing w:after="100"/>
      </w:pPr>
      <w:r>
        <w:t xml:space="preserve">1. Define what needs the board’s judgment</w:t>
      </w:r>
    </w:p>
    <w:p>
      <w:pPr>
        <w:spacing w:after="100"/>
      </w:pPr>
      <w:r>
        <w:t xml:space="preserve">The board chair and CEO identify the few matters that need collective judgment: strategic priorities, performance, capital allocation, or significant risks. Separate board decisions from management operating decisions.</w:t>
      </w:r>
    </w:p>
    <w:p>
      <w:pPr>
        <w:spacing w:after="100"/>
      </w:pPr>
      <w:r>
        <w:t xml:space="preserve">Most important outcome for this meeting: _________________________________</w:t>
      </w:r>
    </w:p>
    <w:p>
      <w:pPr>
        <w:spacing w:after="100"/>
      </w:pPr>
      <w:r>
        <w:t xml:space="preserve">Strategic question the board must address: _________________________________</w:t>
      </w:r>
    </w:p>
    <w:p>
      <w:pPr>
        <w:pStyle w:val="Heading2"/>
        <w:spacing w:after="100"/>
      </w:pPr>
      <w:r>
        <w:t xml:space="preserve">2. Prepare the information before the meeting</w:t>
      </w:r>
    </w:p>
    <w:p>
      <w:pPr>
        <w:spacing w:after="100"/>
      </w:pPr>
      <w:r>
        <w:t xml:space="preserve">Distribute the agenda, prior minutes, financial information, committee reports, and decision briefs early enough for meaningful review. Routine updates belong in the packet; presenters should highlight exceptions, emerging concerns, and what the board needs to decide.</w:t>
      </w:r>
    </w:p>
    <w:p>
      <w:pPr>
        <w:spacing w:after="100"/>
      </w:pPr>
      <w:r>
        <w:t xml:space="preserve">Packet owner and distribution date: _________________________________</w:t>
      </w:r>
    </w:p>
    <w:p>
      <w:pPr>
        <w:spacing w:after="100"/>
      </w:pPr>
      <w:r>
        <w:t xml:space="preserve">Missing information and who will provide it: _________________________________</w:t>
      </w:r>
    </w:p>
    <w:p>
      <w:pPr>
        <w:pStyle w:val="Heading2"/>
        <w:spacing w:after="100"/>
      </w:pPr>
      <w:r>
        <w:t xml:space="preserve">3. Separate routine approvals from discussion</w:t>
      </w:r>
    </w:p>
    <w:p>
      <w:pPr>
        <w:spacing w:after="100"/>
      </w:pPr>
      <w:r>
        <w:t xml:space="preserve">Identify noncontroversial items suitable for a consent agenda under your governing documents and applicable law. Directors must receive the material in advance and be able to request separate discussion of any item. Do not use consent to avoid debate on significant risks or contested decisions.</w:t>
      </w:r>
    </w:p>
    <w:p>
      <w:pPr>
        <w:spacing w:after="100"/>
      </w:pPr>
      <w:r>
        <w:t xml:space="preserve">Proposed consent items: _________________________________</w:t>
      </w:r>
    </w:p>
    <w:p>
      <w:pPr>
        <w:spacing w:after="100"/>
      </w:pPr>
      <w:r>
        <w:t xml:space="preserve">Items requiring separate discussion: _________________________________</w:t>
      </w:r>
    </w:p>
    <w:p>
      <w:pPr>
        <w:pStyle w:val="Heading2"/>
        <w:spacing w:after="100"/>
      </w:pPr>
      <w:r>
        <w:t xml:space="preserve">4. Frame each consequential decision</w:t>
      </w:r>
    </w:p>
    <w:p>
      <w:pPr>
        <w:spacing w:after="100"/>
      </w:pPr>
      <w:r>
        <w:t xml:space="preserve">Prepare a short brief stating the question, recommendation, alternatives, assumptions, risks, and resources required. Address the effect on customers, employees, owners, cash, and long-term value where relevant.</w:t>
      </w:r>
    </w:p>
    <w:p>
      <w:pPr>
        <w:spacing w:after="100"/>
      </w:pPr>
      <w:r>
        <w:t xml:space="preserve">Decision or direction requested: _________________________________</w:t>
      </w:r>
    </w:p>
    <w:p>
      <w:pPr>
        <w:spacing w:after="100"/>
      </w:pPr>
      <w:r>
        <w:t xml:space="preserve">Key assumption to test: _________________________________</w:t>
      </w:r>
    </w:p>
    <w:p>
      <w:pPr>
        <w:spacing w:after="100"/>
      </w:pPr>
      <w:r>
        <w:t xml:space="preserve">Alternative and principal tradeoff: _________________________________</w:t>
      </w:r>
    </w:p>
    <w:p>
      <w:pPr>
        <w:spacing w:after="100"/>
      </w:pPr>
      <w:r>
        <w:t xml:space="preserve">What happens if we defer or do nothing: _________________________________</w:t>
      </w:r>
    </w:p>
    <w:p>
      <w:pPr>
        <w:pStyle w:val="Heading2"/>
        <w:spacing w:after="100"/>
      </w:pPr>
      <w:r>
        <w:t xml:space="preserve">5. Arrive ready to contribute</w:t>
      </w:r>
    </w:p>
    <w:p>
      <w:pPr>
        <w:spacing w:after="100"/>
      </w:pPr>
      <w:r>
        <w:t xml:space="preserve">Each director reads the packet, reviews prior commitments, and identifies questions before the meeting. Request missing facts in advance without replacing collective board discussion. Disclose relevant conflicts and follow the organization’s recusal procedures.</w:t>
      </w:r>
    </w:p>
    <w:p>
      <w:pPr>
        <w:spacing w:after="100"/>
      </w:pPr>
      <w:r>
        <w:t xml:space="preserve">Question about results and what comes next: _________________________________</w:t>
      </w:r>
    </w:p>
    <w:p>
      <w:pPr>
        <w:spacing w:after="100"/>
      </w:pPr>
      <w:r>
        <w:t xml:space="preserve">Risk or perspective the board may be missing: _________________________________</w:t>
      </w:r>
    </w:p>
    <w:p>
      <w:pPr>
        <w:spacing w:after="100"/>
      </w:pPr>
      <w:r>
        <w:t xml:space="preserve">Conflict to disclose, if any: _________________________________</w:t>
      </w:r>
    </w:p>
    <w:p>
      <w:pPr>
        <w:pStyle w:val="Heading2"/>
        <w:spacing w:after="100"/>
      </w:pPr>
      <w:r>
        <w:t xml:space="preserve">6. Reserve discussion time and plan follow-through</w:t>
      </w:r>
    </w:p>
    <w:p>
      <w:pPr>
        <w:spacing w:after="100"/>
      </w:pPr>
      <w:r>
        <w:t xml:space="preserve">Give strategic questions and decisions explicit time on the agenda. Ask presenters to focus on exceptions rather than repeat written reports. Plan any appropriate executive session, and close by confirming decisions, owners, deadlines, and how progress will return to the board.</w:t>
      </w:r>
    </w:p>
    <w:p>
      <w:pPr>
        <w:spacing w:after="100"/>
      </w:pPr>
      <w:r>
        <w:t xml:space="preserve">Time reserved for the priority discussion: _________________________________</w:t>
      </w:r>
    </w:p>
    <w:p>
      <w:pPr>
        <w:spacing w:after="100"/>
      </w:pPr>
      <w:r>
        <w:t xml:space="preserve">Executive session topic, if appropriate: _________________________________</w:t>
      </w:r>
    </w:p>
    <w:p>
      <w:pPr>
        <w:spacing w:after="100"/>
      </w:pPr>
      <w:r>
        <w:t xml:space="preserve">Who will capture decisions and follow-up: _________________________________</w:t>
      </w:r>
    </w:p>
    <w:p>
      <w:pPr>
        <w:pStyle w:val="Heading2"/>
        <w:spacing w:after="100"/>
      </w:pPr>
      <w:r>
        <w:t xml:space="preserve">Preparation tracker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1800"/>
        <w:gridCol w:w="1500"/>
        <w:gridCol w:w="1500"/>
      </w:tblGrid>
      <w:tr>
        <w:trPr>
          <w:cantSplit/>
          <w:tblHeader/>
        </w:trPr>
        <w:tc>
          <w:tcPr>
            <w:tcW w:type="dxa" w:w="4560"/>
            <w:shd w:fill="E8E8E8" w:val="clear"/>
            <w:tcMar>
              <w:top w:type="dxa" w:w="100"/>
              <w:left w:type="dxa" w:w="120"/>
              <w:bottom w:type="dxa" w:w="100"/>
              <w:right w:type="dxa" w:w="120"/>
            </w:tcMar>
          </w:tcPr>
          <w:p>
            <w:pPr>
              <w:spacing w:after="80"/>
            </w:pPr>
            <w:r>
              <w:rPr>
                <w:b/>
                <w:bCs/>
              </w:rPr>
              <w:t xml:space="preserve">Preparation task</w:t>
            </w:r>
          </w:p>
        </w:tc>
        <w:tc>
          <w:tcPr>
            <w:tcW w:type="dxa" w:w="1800"/>
            <w:shd w:fill="E8E8E8" w:val="clear"/>
            <w:tcMar>
              <w:top w:type="dxa" w:w="100"/>
              <w:left w:type="dxa" w:w="120"/>
              <w:bottom w:type="dxa" w:w="100"/>
              <w:right w:type="dxa" w:w="120"/>
            </w:tcMar>
          </w:tcPr>
          <w:p>
            <w:pPr>
              <w:spacing w:after="80"/>
            </w:pPr>
            <w:r>
              <w:rPr>
                <w:b/>
                <w:bCs/>
              </w:rPr>
              <w:t xml:space="preserve">Owner</w:t>
            </w:r>
          </w:p>
        </w:tc>
        <w:tc>
          <w:tcPr>
            <w:tcW w:type="dxa" w:w="1500"/>
            <w:shd w:fill="E8E8E8" w:val="clear"/>
            <w:tcMar>
              <w:top w:type="dxa" w:w="100"/>
              <w:left w:type="dxa" w:w="120"/>
              <w:bottom w:type="dxa" w:w="100"/>
              <w:right w:type="dxa" w:w="120"/>
            </w:tcMar>
          </w:tcPr>
          <w:p>
            <w:pPr>
              <w:spacing w:after="80"/>
            </w:pPr>
            <w:r>
              <w:rPr>
                <w:b/>
                <w:bCs/>
              </w:rPr>
              <w:t xml:space="preserve">Due</w:t>
            </w:r>
          </w:p>
        </w:tc>
        <w:tc>
          <w:tcPr>
            <w:tcW w:type="dxa" w:w="1500"/>
            <w:shd w:fill="E8E8E8" w:val="clear"/>
            <w:tcMar>
              <w:top w:type="dxa" w:w="100"/>
              <w:left w:type="dxa" w:w="120"/>
              <w:bottom w:type="dxa" w:w="100"/>
              <w:right w:type="dxa" w:w="120"/>
            </w:tcMar>
          </w:tcPr>
          <w:p>
            <w:pPr>
              <w:spacing w:after="80"/>
            </w:pPr>
            <w:r>
              <w:rPr>
                <w:b/>
                <w:bCs/>
              </w:rPr>
              <w:t xml:space="preserve">Ready</w:t>
            </w:r>
          </w:p>
        </w:tc>
      </w:tr>
      <w:tr>
        <w:trPr>
          <w:cantSplit/>
          <w:tblHeader w:val="off"/>
        </w:trPr>
        <w:tc>
          <w:tcPr>
            <w:tcW w:type="dxa" w:w="4560"/>
            <w:tcMar>
              <w:top w:type="dxa" w:w="100"/>
              <w:left w:type="dxa" w:w="120"/>
              <w:bottom w:type="dxa" w:w="100"/>
              <w:right w:type="dxa" w:w="120"/>
            </w:tcMar>
          </w:tcPr>
          <w:p>
            <w:pPr>
              <w:spacing w:after="80"/>
            </w:pPr>
            <w:r>
              <w:rPr>
                <w:b w:val="false"/>
                <w:bCs w:val="false"/>
              </w:rPr>
              <w:t xml:space="preserve">Agree priorities and decisions requested</w:t>
            </w:r>
          </w:p>
        </w:tc>
        <w:tc>
          <w:tcPr>
            <w:tcW w:type="dxa" w:w="18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r>
      <w:tr>
        <w:trPr>
          <w:cantSplit/>
          <w:tblHeader w:val="off"/>
        </w:trPr>
        <w:tc>
          <w:tcPr>
            <w:tcW w:type="dxa" w:w="4560"/>
            <w:tcMar>
              <w:top w:type="dxa" w:w="100"/>
              <w:left w:type="dxa" w:w="120"/>
              <w:bottom w:type="dxa" w:w="100"/>
              <w:right w:type="dxa" w:w="120"/>
            </w:tcMar>
          </w:tcPr>
          <w:p>
            <w:pPr>
              <w:spacing w:after="80"/>
            </w:pPr>
            <w:r>
              <w:rPr>
                <w:b w:val="false"/>
                <w:bCs w:val="false"/>
              </w:rPr>
              <w:t xml:space="preserve">Prepare financial and committee reports</w:t>
            </w:r>
          </w:p>
        </w:tc>
        <w:tc>
          <w:tcPr>
            <w:tcW w:type="dxa" w:w="18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r>
      <w:tr>
        <w:trPr>
          <w:cantSplit/>
          <w:tblHeader w:val="off"/>
        </w:trPr>
        <w:tc>
          <w:tcPr>
            <w:tcW w:type="dxa" w:w="4560"/>
            <w:tcMar>
              <w:top w:type="dxa" w:w="100"/>
              <w:left w:type="dxa" w:w="120"/>
              <w:bottom w:type="dxa" w:w="100"/>
              <w:right w:type="dxa" w:w="120"/>
            </w:tcMar>
          </w:tcPr>
          <w:p>
            <w:pPr>
              <w:spacing w:after="80"/>
            </w:pPr>
            <w:r>
              <w:rPr>
                <w:b w:val="false"/>
                <w:bCs w:val="false"/>
              </w:rPr>
              <w:t xml:space="preserve">Prepare decision briefs and supporting evidence</w:t>
            </w:r>
          </w:p>
        </w:tc>
        <w:tc>
          <w:tcPr>
            <w:tcW w:type="dxa" w:w="18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r>
      <w:tr>
        <w:trPr>
          <w:cantSplit/>
          <w:tblHeader w:val="off"/>
        </w:trPr>
        <w:tc>
          <w:tcPr>
            <w:tcW w:type="dxa" w:w="4560"/>
            <w:tcMar>
              <w:top w:type="dxa" w:w="100"/>
              <w:left w:type="dxa" w:w="120"/>
              <w:bottom w:type="dxa" w:w="100"/>
              <w:right w:type="dxa" w:w="120"/>
            </w:tcMar>
          </w:tcPr>
          <w:p>
            <w:pPr>
              <w:spacing w:after="80"/>
            </w:pPr>
            <w:r>
              <w:rPr>
                <w:b w:val="false"/>
                <w:bCs w:val="false"/>
              </w:rPr>
              <w:t xml:space="preserve">Review consent items and conflicts</w:t>
            </w:r>
          </w:p>
        </w:tc>
        <w:tc>
          <w:tcPr>
            <w:tcW w:type="dxa" w:w="18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r>
      <w:tr>
        <w:trPr>
          <w:cantSplit/>
          <w:tblHeader w:val="off"/>
        </w:trPr>
        <w:tc>
          <w:tcPr>
            <w:tcW w:type="dxa" w:w="4560"/>
            <w:tcMar>
              <w:top w:type="dxa" w:w="100"/>
              <w:left w:type="dxa" w:w="120"/>
              <w:bottom w:type="dxa" w:w="100"/>
              <w:right w:type="dxa" w:w="120"/>
            </w:tcMar>
          </w:tcPr>
          <w:p>
            <w:pPr>
              <w:spacing w:after="80"/>
            </w:pPr>
            <w:r>
              <w:rPr>
                <w:b w:val="false"/>
                <w:bCs w:val="false"/>
              </w:rPr>
              <w:t xml:space="preserve">Distribute complete meeting packet</w:t>
            </w:r>
          </w:p>
        </w:tc>
        <w:tc>
          <w:tcPr>
            <w:tcW w:type="dxa" w:w="18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r>
      <w:tr>
        <w:trPr>
          <w:cantSplit/>
          <w:tblHeader w:val="off"/>
        </w:trPr>
        <w:tc>
          <w:tcPr>
            <w:tcW w:type="dxa" w:w="4560"/>
            <w:tcMar>
              <w:top w:type="dxa" w:w="100"/>
              <w:left w:type="dxa" w:w="120"/>
              <w:bottom w:type="dxa" w:w="100"/>
              <w:right w:type="dxa" w:w="120"/>
            </w:tcMar>
          </w:tcPr>
          <w:p>
            <w:pPr>
              <w:spacing w:after="80"/>
            </w:pPr>
            <w:r>
              <w:rPr>
                <w:b w:val="false"/>
                <w:bCs w:val="false"/>
              </w:rPr>
              <w:t xml:space="preserve">Resolve information gaps before the meeting</w:t>
            </w:r>
          </w:p>
        </w:tc>
        <w:tc>
          <w:tcPr>
            <w:tcW w:type="dxa" w:w="18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c>
          <w:tcPr>
            <w:tcW w:type="dxa" w:w="1500"/>
            <w:tcMar>
              <w:top w:type="dxa" w:w="100"/>
              <w:left w:type="dxa" w:w="120"/>
              <w:bottom w:type="dxa" w:w="100"/>
              <w:right w:type="dxa" w:w="120"/>
            </w:tcMar>
          </w:tcPr>
          <w:p>
            <w:pPr>
              <w:spacing w:after="80"/>
            </w:pPr>
            <w:r>
              <w:rPr>
                <w:b w:val="false"/>
                <w:bCs w:val="false"/>
              </w:rPr>
              <w:t xml:space="preserve"> </w:t>
            </w:r>
          </w:p>
        </w:tc>
      </w:tr>
    </w:tbl>
    <w:p>
      <w:pPr>
        <w:pStyle w:val="Heading2"/>
        <w:spacing w:after="100"/>
      </w:pPr>
      <w:r>
        <w:t xml:space="preserve">Discussion and decision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3600"/>
        <w:gridCol w:w="2160"/>
      </w:tblGrid>
      <w:tr>
        <w:trPr>
          <w:cantSplit/>
          <w:tblHeader/>
        </w:trPr>
        <w:tc>
          <w:tcPr>
            <w:tcW w:type="dxa" w:w="3600"/>
            <w:shd w:fill="E8E8E8" w:val="clear"/>
            <w:tcMar>
              <w:top w:type="dxa" w:w="100"/>
              <w:left w:type="dxa" w:w="120"/>
              <w:bottom w:type="dxa" w:w="100"/>
              <w:right w:type="dxa" w:w="120"/>
            </w:tcMar>
          </w:tcPr>
          <w:p>
            <w:pPr>
              <w:spacing w:after="80"/>
            </w:pPr>
            <w:r>
              <w:rPr>
                <w:b/>
                <w:bCs/>
              </w:rPr>
              <w:t xml:space="preserve">Topic / strategic question</w:t>
            </w:r>
          </w:p>
        </w:tc>
        <w:tc>
          <w:tcPr>
            <w:tcW w:type="dxa" w:w="3600"/>
            <w:shd w:fill="E8E8E8" w:val="clear"/>
            <w:tcMar>
              <w:top w:type="dxa" w:w="100"/>
              <w:left w:type="dxa" w:w="120"/>
              <w:bottom w:type="dxa" w:w="100"/>
              <w:right w:type="dxa" w:w="120"/>
            </w:tcMar>
          </w:tcPr>
          <w:p>
            <w:pPr>
              <w:spacing w:after="80"/>
            </w:pPr>
            <w:r>
              <w:rPr>
                <w:b/>
                <w:bCs/>
              </w:rPr>
              <w:t xml:space="preserve">Decision or direction needed</w:t>
            </w:r>
          </w:p>
        </w:tc>
        <w:tc>
          <w:tcPr>
            <w:tcW w:type="dxa" w:w="2160"/>
            <w:shd w:fill="E8E8E8" w:val="clear"/>
            <w:tcMar>
              <w:top w:type="dxa" w:w="100"/>
              <w:left w:type="dxa" w:w="120"/>
              <w:bottom w:type="dxa" w:w="100"/>
              <w:right w:type="dxa" w:w="120"/>
            </w:tcMar>
          </w:tcPr>
          <w:p>
            <w:pPr>
              <w:spacing w:after="80"/>
            </w:pPr>
            <w:r>
              <w:rPr>
                <w:b/>
                <w:bCs/>
              </w:rPr>
              <w:t xml:space="preserve">Lead / time</w:t>
            </w:r>
          </w:p>
        </w:tc>
      </w:tr>
      <w:tr>
        <w:trPr>
          <w:cantSplit/>
          <w:tblHeader w:val="off"/>
        </w:trPr>
        <w:tc>
          <w:tcPr>
            <w:tcW w:type="dxa" w:w="3600"/>
            <w:tcMar>
              <w:top w:type="dxa" w:w="100"/>
              <w:left w:type="dxa" w:w="120"/>
              <w:bottom w:type="dxa" w:w="100"/>
              <w:right w:type="dxa" w:w="120"/>
            </w:tcMar>
          </w:tcPr>
          <w:p>
            <w:pPr>
              <w:spacing w:after="80"/>
            </w:pPr>
            <w:r>
              <w:rPr>
                <w:b w:val="false"/>
                <w:bCs w:val="false"/>
              </w:rPr>
              <w:t xml:space="preserve">1.</w:t>
            </w:r>
          </w:p>
        </w:tc>
        <w:tc>
          <w:tcPr>
            <w:tcW w:type="dxa" w:w="3600"/>
            <w:tcMar>
              <w:top w:type="dxa" w:w="100"/>
              <w:left w:type="dxa" w:w="120"/>
              <w:bottom w:type="dxa" w:w="100"/>
              <w:right w:type="dxa" w:w="120"/>
            </w:tcMar>
          </w:tcPr>
          <w:p>
            <w:pPr>
              <w:spacing w:after="80"/>
            </w:pPr>
            <w:r>
              <w:rPr>
                <w:b w:val="false"/>
                <w:bCs w:val="false"/>
              </w:rPr>
              <w:t xml:space="preserve"> </w:t>
            </w:r>
          </w:p>
        </w:tc>
        <w:tc>
          <w:tcPr>
            <w:tcW w:type="dxa" w:w="2160"/>
            <w:tcMar>
              <w:top w:type="dxa" w:w="100"/>
              <w:left w:type="dxa" w:w="120"/>
              <w:bottom w:type="dxa" w:w="100"/>
              <w:right w:type="dxa" w:w="120"/>
            </w:tcMar>
          </w:tcPr>
          <w:p>
            <w:pPr>
              <w:spacing w:after="80"/>
            </w:pPr>
            <w:r>
              <w:rPr>
                <w:b w:val="false"/>
                <w:bCs w:val="false"/>
              </w:rPr>
              <w:t xml:space="preserve"> </w:t>
            </w:r>
          </w:p>
        </w:tc>
      </w:tr>
      <w:tr>
        <w:trPr>
          <w:cantSplit/>
          <w:tblHeader w:val="off"/>
        </w:trPr>
        <w:tc>
          <w:tcPr>
            <w:tcW w:type="dxa" w:w="3600"/>
            <w:tcMar>
              <w:top w:type="dxa" w:w="100"/>
              <w:left w:type="dxa" w:w="120"/>
              <w:bottom w:type="dxa" w:w="100"/>
              <w:right w:type="dxa" w:w="120"/>
            </w:tcMar>
          </w:tcPr>
          <w:p>
            <w:pPr>
              <w:spacing w:after="80"/>
            </w:pPr>
            <w:r>
              <w:rPr>
                <w:b w:val="false"/>
                <w:bCs w:val="false"/>
              </w:rPr>
              <w:t xml:space="preserve">2.</w:t>
            </w:r>
          </w:p>
        </w:tc>
        <w:tc>
          <w:tcPr>
            <w:tcW w:type="dxa" w:w="3600"/>
            <w:tcMar>
              <w:top w:type="dxa" w:w="100"/>
              <w:left w:type="dxa" w:w="120"/>
              <w:bottom w:type="dxa" w:w="100"/>
              <w:right w:type="dxa" w:w="120"/>
            </w:tcMar>
          </w:tcPr>
          <w:p>
            <w:pPr>
              <w:spacing w:after="80"/>
            </w:pPr>
            <w:r>
              <w:rPr>
                <w:b w:val="false"/>
                <w:bCs w:val="false"/>
              </w:rPr>
              <w:t xml:space="preserve"> </w:t>
            </w:r>
          </w:p>
        </w:tc>
        <w:tc>
          <w:tcPr>
            <w:tcW w:type="dxa" w:w="2160"/>
            <w:tcMar>
              <w:top w:type="dxa" w:w="100"/>
              <w:left w:type="dxa" w:w="120"/>
              <w:bottom w:type="dxa" w:w="100"/>
              <w:right w:type="dxa" w:w="120"/>
            </w:tcMar>
          </w:tcPr>
          <w:p>
            <w:pPr>
              <w:spacing w:after="80"/>
            </w:pPr>
            <w:r>
              <w:rPr>
                <w:b w:val="false"/>
                <w:bCs w:val="false"/>
              </w:rPr>
              <w:t xml:space="preserve"> </w:t>
            </w:r>
          </w:p>
        </w:tc>
      </w:tr>
      <w:tr>
        <w:trPr>
          <w:cantSplit/>
          <w:tblHeader w:val="off"/>
        </w:trPr>
        <w:tc>
          <w:tcPr>
            <w:tcW w:type="dxa" w:w="3600"/>
            <w:tcMar>
              <w:top w:type="dxa" w:w="100"/>
              <w:left w:type="dxa" w:w="120"/>
              <w:bottom w:type="dxa" w:w="100"/>
              <w:right w:type="dxa" w:w="120"/>
            </w:tcMar>
          </w:tcPr>
          <w:p>
            <w:pPr>
              <w:spacing w:after="80"/>
            </w:pPr>
            <w:r>
              <w:rPr>
                <w:b w:val="false"/>
                <w:bCs w:val="false"/>
              </w:rPr>
              <w:t xml:space="preserve">3.</w:t>
            </w:r>
          </w:p>
        </w:tc>
        <w:tc>
          <w:tcPr>
            <w:tcW w:type="dxa" w:w="3600"/>
            <w:tcMar>
              <w:top w:type="dxa" w:w="100"/>
              <w:left w:type="dxa" w:w="120"/>
              <w:bottom w:type="dxa" w:w="100"/>
              <w:right w:type="dxa" w:w="120"/>
            </w:tcMar>
          </w:tcPr>
          <w:p>
            <w:pPr>
              <w:spacing w:after="80"/>
            </w:pPr>
            <w:r>
              <w:rPr>
                <w:b w:val="false"/>
                <w:bCs w:val="false"/>
              </w:rPr>
              <w:t xml:space="preserve"> </w:t>
            </w:r>
          </w:p>
        </w:tc>
        <w:tc>
          <w:tcPr>
            <w:tcW w:type="dxa" w:w="2160"/>
            <w:tcMar>
              <w:top w:type="dxa" w:w="100"/>
              <w:left w:type="dxa" w:w="120"/>
              <w:bottom w:type="dxa" w:w="100"/>
              <w:right w:type="dxa" w:w="120"/>
            </w:tcMar>
          </w:tcPr>
          <w:p>
            <w:pPr>
              <w:spacing w:after="80"/>
            </w:pPr>
            <w:r>
              <w:rPr>
                <w:b w:val="false"/>
                <w:bCs w:val="false"/>
              </w:rPr>
              <w:t xml:space="preserve"> </w:t>
            </w:r>
          </w:p>
        </w:tc>
      </w:tr>
    </w:tbl>
    <w:p>
      <w:pPr>
        <w:pStyle w:val="Heading2"/>
        <w:spacing w:after="100"/>
      </w:pPr>
      <w:r>
        <w:t xml:space="preserve">Follow-up record — complete at the meeting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3600"/>
        <w:gridCol w:w="2160"/>
      </w:tblGrid>
      <w:tr>
        <w:trPr>
          <w:cantSplit/>
          <w:tblHeader/>
        </w:trPr>
        <w:tc>
          <w:tcPr>
            <w:tcW w:type="dxa" w:w="3600"/>
            <w:shd w:fill="E8E8E8" w:val="clear"/>
            <w:tcMar>
              <w:top w:type="dxa" w:w="100"/>
              <w:left w:type="dxa" w:w="120"/>
              <w:bottom w:type="dxa" w:w="100"/>
              <w:right w:type="dxa" w:w="120"/>
            </w:tcMar>
          </w:tcPr>
          <w:p>
            <w:pPr>
              <w:spacing w:after="80"/>
            </w:pPr>
            <w:r>
              <w:rPr>
                <w:b/>
                <w:bCs/>
              </w:rPr>
              <w:t xml:space="preserve">Decision / action</w:t>
            </w:r>
          </w:p>
        </w:tc>
        <w:tc>
          <w:tcPr>
            <w:tcW w:type="dxa" w:w="3600"/>
            <w:shd w:fill="E8E8E8" w:val="clear"/>
            <w:tcMar>
              <w:top w:type="dxa" w:w="100"/>
              <w:left w:type="dxa" w:w="120"/>
              <w:bottom w:type="dxa" w:w="100"/>
              <w:right w:type="dxa" w:w="120"/>
            </w:tcMar>
          </w:tcPr>
          <w:p>
            <w:pPr>
              <w:spacing w:after="80"/>
            </w:pPr>
            <w:r>
              <w:rPr>
                <w:b/>
                <w:bCs/>
              </w:rPr>
              <w:t xml:space="preserve">Owner</w:t>
            </w:r>
          </w:p>
        </w:tc>
        <w:tc>
          <w:tcPr>
            <w:tcW w:type="dxa" w:w="2160"/>
            <w:shd w:fill="E8E8E8" w:val="clear"/>
            <w:tcMar>
              <w:top w:type="dxa" w:w="100"/>
              <w:left w:type="dxa" w:w="120"/>
              <w:bottom w:type="dxa" w:w="100"/>
              <w:right w:type="dxa" w:w="120"/>
            </w:tcMar>
          </w:tcPr>
          <w:p>
            <w:pPr>
              <w:spacing w:after="80"/>
            </w:pPr>
            <w:r>
              <w:rPr>
                <w:b/>
                <w:bCs/>
              </w:rPr>
              <w:t xml:space="preserve">Due / report-back date</w:t>
            </w:r>
          </w:p>
        </w:tc>
      </w:tr>
      <w:tr>
        <w:trPr>
          <w:cantSplit/>
          <w:tblHeader w:val="off"/>
        </w:trPr>
        <w:tc>
          <w:tcPr>
            <w:tcW w:type="dxa" w:w="3600"/>
            <w:tcMar>
              <w:top w:type="dxa" w:w="100"/>
              <w:left w:type="dxa" w:w="120"/>
              <w:bottom w:type="dxa" w:w="100"/>
              <w:right w:type="dxa" w:w="120"/>
            </w:tcMar>
          </w:tcPr>
          <w:p>
            <w:pPr>
              <w:spacing w:after="80"/>
            </w:pPr>
            <w:r>
              <w:rPr>
                <w:b w:val="false"/>
                <w:bCs w:val="false"/>
              </w:rPr>
              <w:t xml:space="preserve">1.</w:t>
            </w:r>
          </w:p>
        </w:tc>
        <w:tc>
          <w:tcPr>
            <w:tcW w:type="dxa" w:w="3600"/>
            <w:tcMar>
              <w:top w:type="dxa" w:w="100"/>
              <w:left w:type="dxa" w:w="120"/>
              <w:bottom w:type="dxa" w:w="100"/>
              <w:right w:type="dxa" w:w="120"/>
            </w:tcMar>
          </w:tcPr>
          <w:p>
            <w:pPr>
              <w:spacing w:after="80"/>
            </w:pPr>
            <w:r>
              <w:rPr>
                <w:b w:val="false"/>
                <w:bCs w:val="false"/>
              </w:rPr>
              <w:t xml:space="preserve"> </w:t>
            </w:r>
          </w:p>
        </w:tc>
        <w:tc>
          <w:tcPr>
            <w:tcW w:type="dxa" w:w="2160"/>
            <w:tcMar>
              <w:top w:type="dxa" w:w="100"/>
              <w:left w:type="dxa" w:w="120"/>
              <w:bottom w:type="dxa" w:w="100"/>
              <w:right w:type="dxa" w:w="120"/>
            </w:tcMar>
          </w:tcPr>
          <w:p>
            <w:pPr>
              <w:spacing w:after="80"/>
            </w:pPr>
            <w:r>
              <w:rPr>
                <w:b w:val="false"/>
                <w:bCs w:val="false"/>
              </w:rPr>
              <w:t xml:space="preserve"> </w:t>
            </w:r>
          </w:p>
        </w:tc>
      </w:tr>
      <w:tr>
        <w:trPr>
          <w:cantSplit/>
          <w:tblHeader w:val="off"/>
        </w:trPr>
        <w:tc>
          <w:tcPr>
            <w:tcW w:type="dxa" w:w="3600"/>
            <w:tcMar>
              <w:top w:type="dxa" w:w="100"/>
              <w:left w:type="dxa" w:w="120"/>
              <w:bottom w:type="dxa" w:w="100"/>
              <w:right w:type="dxa" w:w="120"/>
            </w:tcMar>
          </w:tcPr>
          <w:p>
            <w:pPr>
              <w:spacing w:after="80"/>
            </w:pPr>
            <w:r>
              <w:rPr>
                <w:b w:val="false"/>
                <w:bCs w:val="false"/>
              </w:rPr>
              <w:t xml:space="preserve">2.</w:t>
            </w:r>
          </w:p>
        </w:tc>
        <w:tc>
          <w:tcPr>
            <w:tcW w:type="dxa" w:w="3600"/>
            <w:tcMar>
              <w:top w:type="dxa" w:w="100"/>
              <w:left w:type="dxa" w:w="120"/>
              <w:bottom w:type="dxa" w:w="100"/>
              <w:right w:type="dxa" w:w="120"/>
            </w:tcMar>
          </w:tcPr>
          <w:p>
            <w:pPr>
              <w:spacing w:after="80"/>
            </w:pPr>
            <w:r>
              <w:rPr>
                <w:b w:val="false"/>
                <w:bCs w:val="false"/>
              </w:rPr>
              <w:t xml:space="preserve"> </w:t>
            </w:r>
          </w:p>
        </w:tc>
        <w:tc>
          <w:tcPr>
            <w:tcW w:type="dxa" w:w="2160"/>
            <w:tcMar>
              <w:top w:type="dxa" w:w="100"/>
              <w:left w:type="dxa" w:w="120"/>
              <w:bottom w:type="dxa" w:w="100"/>
              <w:right w:type="dxa" w:w="120"/>
            </w:tcMar>
          </w:tcPr>
          <w:p>
            <w:pPr>
              <w:spacing w:after="80"/>
            </w:pPr>
            <w:r>
              <w:rPr>
                <w:b w:val="false"/>
                <w:bCs w:val="false"/>
              </w:rPr>
              <w:t xml:space="preserve"> </w:t>
            </w:r>
          </w:p>
        </w:tc>
      </w:tr>
      <w:tr>
        <w:trPr>
          <w:cantSplit/>
          <w:tblHeader w:val="off"/>
        </w:trPr>
        <w:tc>
          <w:tcPr>
            <w:tcW w:type="dxa" w:w="3600"/>
            <w:tcMar>
              <w:top w:type="dxa" w:w="100"/>
              <w:left w:type="dxa" w:w="120"/>
              <w:bottom w:type="dxa" w:w="100"/>
              <w:right w:type="dxa" w:w="120"/>
            </w:tcMar>
          </w:tcPr>
          <w:p>
            <w:pPr>
              <w:spacing w:after="80"/>
            </w:pPr>
            <w:r>
              <w:rPr>
                <w:b w:val="false"/>
                <w:bCs w:val="false"/>
              </w:rPr>
              <w:t xml:space="preserve">3.</w:t>
            </w:r>
          </w:p>
        </w:tc>
        <w:tc>
          <w:tcPr>
            <w:tcW w:type="dxa" w:w="3600"/>
            <w:tcMar>
              <w:top w:type="dxa" w:w="100"/>
              <w:left w:type="dxa" w:w="120"/>
              <w:bottom w:type="dxa" w:w="100"/>
              <w:right w:type="dxa" w:w="120"/>
            </w:tcMar>
          </w:tcPr>
          <w:p>
            <w:pPr>
              <w:spacing w:after="80"/>
            </w:pPr>
            <w:r>
              <w:rPr>
                <w:b w:val="false"/>
                <w:bCs w:val="false"/>
              </w:rPr>
              <w:t xml:space="preserve"> </w:t>
            </w:r>
          </w:p>
        </w:tc>
        <w:tc>
          <w:tcPr>
            <w:tcW w:type="dxa" w:w="2160"/>
            <w:tcMar>
              <w:top w:type="dxa" w:w="100"/>
              <w:left w:type="dxa" w:w="120"/>
              <w:bottom w:type="dxa" w:w="100"/>
              <w:right w:type="dxa" w:w="120"/>
            </w:tcMar>
          </w:tcPr>
          <w:p>
            <w:pPr>
              <w:spacing w:after="80"/>
            </w:pPr>
            <w:r>
              <w:rPr>
                <w:b w:val="false"/>
                <w:bCs w:val="false"/>
              </w:rPr>
              <w:t xml:space="preserve"> </w:t>
            </w:r>
          </w:p>
        </w:tc>
      </w:tr>
    </w:tbl>
    <w:p>
      <w:pPr>
        <w:pStyle w:val="Heading2"/>
        <w:spacing w:after="100"/>
      </w:pPr>
      <w:r>
        <w:t xml:space="preserve">Guidance notes</w:t>
      </w:r>
    </w:p>
    <w:p>
      <w:pPr>
        <w:pStyle w:val="ListParagraph"/>
        <w:numPr>
          <w:ilvl w:val="0"/>
          <w:numId w:val="2"/>
        </w:numPr>
        <w:spacing w:after="100"/>
      </w:pPr>
      <w:r>
        <w:t xml:space="preserve">Preparation should create room for judgment, not a longer packet. Keep reports concise and highlight material changes.</w:t>
      </w:r>
    </w:p>
    <w:p>
      <w:pPr>
        <w:pStyle w:val="ListParagraph"/>
        <w:numPr>
          <w:ilvl w:val="0"/>
          <w:numId w:val="2"/>
        </w:numPr>
        <w:spacing w:after="100"/>
      </w:pPr>
      <w:r>
        <w:t xml:space="preserve">Ask what the results mean for the future: what is working, what must change, and where resources should go next?</w:t>
      </w:r>
    </w:p>
    <w:p>
      <w:pPr>
        <w:pStyle w:val="ListParagraph"/>
        <w:numPr>
          <w:ilvl w:val="0"/>
          <w:numId w:val="2"/>
        </w:numPr>
        <w:spacing w:after="100"/>
      </w:pPr>
      <w:r>
        <w:t xml:space="preserve">Read financial results alongside strategy and risk. Strong current results do not remove the need to test assumptions.</w:t>
      </w:r>
    </w:p>
    <w:p>
      <w:pPr>
        <w:pStyle w:val="ListParagraph"/>
        <w:numPr>
          <w:ilvl w:val="0"/>
          <w:numId w:val="2"/>
        </w:numPr>
        <w:spacing w:after="100"/>
      </w:pPr>
      <w:r>
        <w:t xml:space="preserve">Leave room for differing views. A recommendation is a starting point for informed discussion, not a substitute for it.</w:t>
      </w:r>
    </w:p>
    <w:p>
      <w:pPr>
        <w:pStyle w:val="ListParagraph"/>
        <w:numPr>
          <w:ilvl w:val="0"/>
          <w:numId w:val="2"/>
        </w:numPr>
        <w:spacing w:after="100"/>
      </w:pPr>
      <w:r>
        <w:t xml:space="preserve">Keep confidential board materials in approved channels and record formal decisions in the minutes, not only in this worksheet.</w:t>
      </w:r>
    </w:p>
    <w:p>
      <w:pPr>
        <w:pStyle w:val="Heading2"/>
        <w:spacing w:after="100"/>
      </w:pPr>
      <w:r>
        <w:t xml:space="preserve">Companion article</w:t>
      </w:r>
    </w:p>
    <w:p>
      <w:hyperlink w:history="1" r:id="rIdndbsvo64fna3hg-tfynsm">
        <w:r>
          <w:rPr>
            <w:rStyle w:val="Hyperlink"/>
          </w:rPr>
          <w:t xml:space="preserve">The Best Use of a Board’s Time</w:t>
        </w:r>
      </w:hyperlink>
    </w:p>
    <w:p>
      <w:pPr>
        <w:spacing w:after="100"/>
      </w:pPr>
      <w:r>
        <w:t xml:space="preserve">Educational worksheet only; not legal, tax, accounting, or compliance advice. Adapt to your governing documents and applicable law, seek qualified counsel where needed, and keep confidential materials secure. This worksheet does not replace formal minutes.</w:t>
      </w:r>
    </w:p>
    <w:sectPr>
      <w:footerReference w:type="default" r:id="rId6"/>
      <w:pgSz w:w="12240" w:h="15840" w:orient="portrait"/>
      <w:pgMar w:top="1080" w:right="1440" w:bottom="108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Leonidas Consulting | Board Meeting Preparation —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60" w:before="160"/>
      <w:outlineLvl w:val="0"/>
    </w:pPr>
    <w:rPr>
      <w:rFonts w:ascii="Arial" w:cs="Arial" w:eastAsia="Arial" w:hAnsi="Arial"/>
      <w:b/>
      <w:bCs/>
      <w:sz w:val="32"/>
      <w:szCs w:val="32"/>
    </w:rPr>
  </w:style>
  <w:style w:type="paragraph" w:styleId="Heading2">
    <w:name w:val="Heading 2"/>
    <w:basedOn w:val="Normal"/>
    <w:next w:val="Normal"/>
    <w:pPr>
      <w:keepNext/>
      <w:spacing w:after="100" w:before="160"/>
      <w:outlineLvl w:val="1"/>
    </w:pPr>
    <w:rPr>
      <w:rFonts w:ascii="Arial" w:cs="Arial" w:eastAsia="Arial" w:hAnsi="Arial"/>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ndbsvo64fna3hg-tfynsm" Type="http://schemas.openxmlformats.org/officeDocument/2006/relationships/hyperlink" Target="https://www.leonidasconsulting.com/insights#the-best-use-of-a-board-s-tim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2026-10-03T16:48:46.845Z</dcterms:created>
  <dcterms:modified xsi:type="dcterms:W3CDTF">2026-10-03T16:48:46.845Z</dcterms:modified>
</cp:coreProperties>
</file>

<file path=docProps/custom.xml><?xml version="1.0" encoding="utf-8"?>
<Properties xmlns="http://schemas.openxmlformats.org/officeDocument/2006/custom-properties" xmlns:vt="http://schemas.openxmlformats.org/officeDocument/2006/docPropsVTypes"/>
</file>