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dashed" w:color="6C9539" w:sz="6" w:space="1"/>
        </w:pBdr>
        <w:spacing w:after="200"/>
      </w:pPr>
      <w:r>
        <w:rPr>
          <w:i/>
          <w:iCs/>
          <w:color w:val="999999"/>
          <w:sz w:val="18"/>
          <w:szCs w:val="18"/>
        </w:rPr>
        <w:t xml:space="preserve">[ Organization logo ]</w:t>
      </w:r>
    </w:p>
    <w:p>
      <w:pPr>
        <w:pStyle w:val="Heading1"/>
        <w:spacing w:after="120" w:before="240"/>
      </w:pPr>
      <w:r>
        <w:rPr>
          <w:rFonts w:ascii="Arial" w:cs="Arial" w:eastAsia="Arial" w:hAnsi="Arial"/>
          <w:b/>
          <w:bCs/>
          <w:color w:val="2A261E"/>
          <w:sz w:val="28"/>
          <w:szCs w:val="28"/>
        </w:rPr>
        <w:t xml:space="preserve">Annual Board &amp; Committee Calendar</w:t>
      </w:r>
    </w:p>
    <w:p>
      <w:pPr>
        <w:spacing w:after="100"/>
      </w:pPr>
      <w:r>
        <w:rPr>
          <w:rFonts w:ascii="Arial" w:cs="Arial" w:eastAsia="Arial" w:hAnsi="Arial"/>
          <w:sz w:val="22"/>
          <w:szCs w:val="22"/>
        </w:rPr>
        <w:t xml:space="preserve">Corporate board of directors — year-at-a-glance planning calendar</w:t>
      </w:r>
    </w:p>
    <w:p>
      <w:pPr>
        <w:spacing w:after="80"/>
      </w:pPr>
      <w:r>
        <w:rPr>
          <w:rFonts w:ascii="Arial" w:cs="Arial" w:eastAsia="Arial" w:hAnsi="Arial"/>
          <w:b/>
          <w:bCs/>
          <w:sz w:val="22"/>
          <w:szCs w:val="22"/>
        </w:rPr>
        <w:t xml:space="preserve">Organization: </w:t>
      </w:r>
      <w:r>
        <w:rPr>
          <w:rFonts w:ascii="Arial" w:cs="Arial" w:eastAsia="Arial" w:hAnsi="Arial"/>
          <w:sz w:val="22"/>
          <w:szCs w:val="22"/>
        </w:rPr>
        <w:t xml:space="preserve">_______________________________</w:t>
      </w:r>
    </w:p>
    <w:p>
      <w:pPr>
        <w:spacing w:after="80"/>
      </w:pPr>
      <w:r>
        <w:rPr>
          <w:rFonts w:ascii="Arial" w:cs="Arial" w:eastAsia="Arial" w:hAnsi="Arial"/>
          <w:b/>
          <w:bCs/>
          <w:sz w:val="22"/>
          <w:szCs w:val="22"/>
        </w:rPr>
        <w:t xml:space="preserve">Fiscal year: </w:t>
      </w:r>
      <w:r>
        <w:rPr>
          <w:rFonts w:ascii="Arial" w:cs="Arial" w:eastAsia="Arial" w:hAnsi="Arial"/>
          <w:sz w:val="22"/>
          <w:szCs w:val="22"/>
        </w:rPr>
        <w:t xml:space="preserve">_______________________________</w:t>
      </w:r>
    </w:p>
    <w:p>
      <w:pPr>
        <w:spacing w:after="80"/>
      </w:pPr>
      <w:r>
        <w:rPr>
          <w:rFonts w:ascii="Arial" w:cs="Arial" w:eastAsia="Arial" w:hAnsi="Arial"/>
          <w:b/>
          <w:bCs/>
          <w:sz w:val="22"/>
          <w:szCs w:val="22"/>
        </w:rPr>
        <w:t xml:space="preserve">Prepared by: </w:t>
      </w:r>
      <w:r>
        <w:rPr>
          <w:rFonts w:ascii="Arial" w:cs="Arial" w:eastAsia="Arial" w:hAnsi="Arial"/>
          <w:sz w:val="22"/>
          <w:szCs w:val="22"/>
        </w:rPr>
        <w:t xml:space="preserve">_______________________________</w:t>
      </w:r>
    </w:p>
    <w:p>
      <w:pPr>
        <w:spacing w:after="80"/>
      </w:pPr>
      <w:r>
        <w:rPr>
          <w:rFonts w:ascii="Arial" w:cs="Arial" w:eastAsia="Arial" w:hAnsi="Arial"/>
          <w:b/>
          <w:bCs/>
          <w:sz w:val="22"/>
          <w:szCs w:val="22"/>
        </w:rPr>
        <w:t xml:space="preserve">Approved by board on: </w:t>
      </w:r>
      <w:r>
        <w:rPr>
          <w:rFonts w:ascii="Arial" w:cs="Arial" w:eastAsia="Arial" w:hAnsi="Arial"/>
          <w:sz w:val="22"/>
          <w:szCs w:val="22"/>
        </w:rPr>
        <w:t xml:space="preserve">_______________________________</w:t>
      </w:r>
    </w:p>
    <w:p>
      <w:pPr>
        <w:spacing w:after="100" w:before="200"/>
      </w:pPr>
      <w:r>
        <w:rPr>
          <w:rFonts w:ascii="Arial" w:cs="Arial" w:eastAsia="Arial" w:hAnsi="Arial"/>
          <w:b/>
          <w:bCs/>
          <w:color w:val="2A261E"/>
          <w:sz w:val="24"/>
          <w:szCs w:val="24"/>
        </w:rPr>
        <w:t xml:space="preserve">How to use this calendar</w:t>
      </w:r>
    </w:p>
    <w:p>
      <w:pPr>
        <w:spacing w:after="100"/>
      </w:pPr>
      <w:r>
        <w:rPr>
          <w:rFonts w:ascii="Arial" w:cs="Arial" w:eastAsia="Arial" w:hAnsi="Arial"/>
          <w:sz w:val="22"/>
          <w:szCs w:val="22"/>
        </w:rPr>
        <w:t xml:space="preserve">Adopt the calendar at the last meeting of the prior year or the first meeting of the new year. Fill in the board meeting dates first, then place each recurring obligation from the reference table in the month it falls due. Assign each committee its focus for the year so agendas build themselves. Review the calendar at every meeting — it is a living plan, not a filing exercise.</w:t>
      </w:r>
    </w:p>
    <w:p>
      <w:pPr>
        <w:spacing w:after="100" w:before="200"/>
      </w:pPr>
      <w:r>
        <w:rPr>
          <w:rFonts w:ascii="Arial" w:cs="Arial" w:eastAsia="Arial" w:hAnsi="Arial"/>
          <w:b/>
          <w:bCs/>
          <w:color w:val="2A261E"/>
          <w:sz w:val="24"/>
          <w:szCs w:val="24"/>
        </w:rPr>
        <w:t xml:space="preserve">Setting the rhythm</w:t>
      </w:r>
    </w:p>
    <w:p>
      <w:pPr>
        <w:spacing w:after="100"/>
      </w:pPr>
      <w:r>
        <w:rPr>
          <w:rFonts w:ascii="Arial" w:cs="Arial" w:eastAsia="Arial" w:hAnsi="Arial"/>
          <w:sz w:val="22"/>
          <w:szCs w:val="22"/>
        </w:rPr>
        <w:t xml:space="preserve">Put the heaviest governance work — budget approval, CEO evaluation, strategic planning — in different quarters so no single meeting is overloaded. Keep the audit and financial review close after fiscal year end while the numbers are fresh. Schedule the board self-assessment away from budget season so it gets real attention.</w:t>
      </w:r>
    </w:p>
    <w:p>
      <w:pPr>
        <w:spacing w:after="80" w:before="160"/>
      </w:pPr>
      <w:r>
        <w:rPr>
          <w:rFonts w:ascii="Arial" w:cs="Arial" w:eastAsia="Arial" w:hAnsi="Arial"/>
          <w:b/>
          <w:bCs/>
          <w:color w:val="2A261E"/>
          <w:sz w:val="22"/>
          <w:szCs w:val="22"/>
        </w:rPr>
        <w:t xml:space="preserve">Annual calendar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1800"/>
        <w:gridCol w:w="2200"/>
        <w:gridCol w:w="2600"/>
        <w:gridCol w:w="1660"/>
      </w:tblGrid>
      <w:tr>
        <w:trPr>
          <w:tblHeader/>
        </w:trPr>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Month</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Board meeting date</w:t>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Committee focus</w:t>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Key deadlines / obligations</w:t>
            </w:r>
          </w:p>
        </w:tc>
        <w:tc>
          <w:tcPr>
            <w:tcW w:type="dxa" w:w="16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Notes</w:t>
            </w:r>
          </w:p>
        </w:tc>
      </w:tr>
      <w:tr>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January</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6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February</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6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March</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6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April</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6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May</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6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June</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6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July</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6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August</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6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September</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6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October</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6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November</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6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December</w:t>
            </w:r>
          </w:p>
        </w:tc>
        <w:tc>
          <w:tcPr>
            <w:tcW w:type="dxa" w:w="1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6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bl>
    <w:p>
      <w:pPr>
        <w:spacing w:after="100" w:before="200"/>
      </w:pPr>
      <w:r>
        <w:rPr>
          <w:rFonts w:ascii="Arial" w:cs="Arial" w:eastAsia="Arial" w:hAnsi="Arial"/>
          <w:b/>
          <w:bCs/>
          <w:color w:val="2A261E"/>
          <w:sz w:val="24"/>
          <w:szCs w:val="24"/>
        </w:rPr>
        <w:t xml:space="preserve">Recurring annual obligations</w:t>
      </w:r>
    </w:p>
    <w:p>
      <w:pPr>
        <w:spacing w:after="100"/>
      </w:pPr>
      <w:r>
        <w:rPr>
          <w:rFonts w:ascii="Arial" w:cs="Arial" w:eastAsia="Arial" w:hAnsi="Arial"/>
          <w:sz w:val="22"/>
          <w:szCs w:val="22"/>
        </w:rPr>
        <w:t xml:space="preserve">The reference table lists the obligations most corporate boards owe every year. Place each one in the calendar grid, confirm the owner, and adjust timing to your fiscal year and bylaws. If your bylaws or shareholder agreements require additional actions, add them.</w:t>
      </w:r>
    </w:p>
    <w:p>
      <w:pPr>
        <w:spacing w:after="80" w:before="160"/>
      </w:pPr>
      <w:r>
        <w:rPr>
          <w:rFonts w:ascii="Arial" w:cs="Arial" w:eastAsia="Arial" w:hAnsi="Arial"/>
          <w:b/>
          <w:bCs/>
          <w:color w:val="2A261E"/>
          <w:sz w:val="22"/>
          <w:szCs w:val="22"/>
        </w:rPr>
        <w:t xml:space="preserve">Recurring annual obligations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3000"/>
        <w:gridCol w:w="2160"/>
      </w:tblGrid>
      <w:tr>
        <w:trPr>
          <w:tblHeader/>
        </w:trPr>
        <w:tc>
          <w:tcPr>
            <w:tcW w:type="dxa" w:w="4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Obligation</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Typical timing</w:t>
            </w:r>
          </w:p>
        </w:tc>
        <w:tc>
          <w:tcPr>
            <w:tcW w:type="dxa" w:w="21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Owner</w:t>
            </w:r>
          </w:p>
        </w:tc>
      </w:tr>
      <w:tr>
        <w:tc>
          <w:tcPr>
            <w:tcW w:type="dxa" w:w="4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Annual shareholder / member meeting</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Same month each year, per bylaws</w:t>
            </w:r>
          </w:p>
        </w:tc>
        <w:tc>
          <w:tcPr>
            <w:tcW w:type="dxa" w:w="21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Secretary</w:t>
            </w:r>
          </w:p>
        </w:tc>
      </w:tr>
      <w:tr>
        <w:tc>
          <w:tcPr>
            <w:tcW w:type="dxa" w:w="4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Election of directors and officers</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At the annual meeting</w:t>
            </w:r>
          </w:p>
        </w:tc>
        <w:tc>
          <w:tcPr>
            <w:tcW w:type="dxa" w:w="21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Board / Nominating committee</w:t>
            </w:r>
          </w:p>
        </w:tc>
      </w:tr>
      <w:tr>
        <w:tc>
          <w:tcPr>
            <w:tcW w:type="dxa" w:w="4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Annual budget approval</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Before the fiscal year begins</w:t>
            </w:r>
          </w:p>
        </w:tc>
        <w:tc>
          <w:tcPr>
            <w:tcW w:type="dxa" w:w="21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Finance committee / CFO</w:t>
            </w:r>
          </w:p>
        </w:tc>
      </w:tr>
      <w:tr>
        <w:tc>
          <w:tcPr>
            <w:tcW w:type="dxa" w:w="4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Audit or financial review</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After fiscal year end</w:t>
            </w:r>
          </w:p>
        </w:tc>
        <w:tc>
          <w:tcPr>
            <w:tcW w:type="dxa" w:w="21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Audit committee</w:t>
            </w:r>
          </w:p>
        </w:tc>
      </w:tr>
      <w:tr>
        <w:tc>
          <w:tcPr>
            <w:tcW w:type="dxa" w:w="4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CEO / president performance evaluation</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Same quarter each year</w:t>
            </w:r>
          </w:p>
        </w:tc>
        <w:tc>
          <w:tcPr>
            <w:tcW w:type="dxa" w:w="21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Board chair / Compensation committee</w:t>
            </w:r>
          </w:p>
        </w:tc>
      </w:tr>
      <w:tr>
        <w:tc>
          <w:tcPr>
            <w:tcW w:type="dxa" w:w="4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Strategic plan review</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Mid-year or before budget season</w:t>
            </w:r>
          </w:p>
        </w:tc>
        <w:tc>
          <w:tcPr>
            <w:tcW w:type="dxa" w:w="21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Full board</w:t>
            </w:r>
          </w:p>
        </w:tc>
      </w:tr>
      <w:tr>
        <w:tc>
          <w:tcPr>
            <w:tcW w:type="dxa" w:w="4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Board self-assessment</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Annually, away from budget season</w:t>
            </w:r>
          </w:p>
        </w:tc>
        <w:tc>
          <w:tcPr>
            <w:tcW w:type="dxa" w:w="21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Governance committee</w:t>
            </w:r>
          </w:p>
        </w:tc>
      </w:tr>
      <w:tr>
        <w:tc>
          <w:tcPr>
            <w:tcW w:type="dxa" w:w="4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Conflict of interest disclosures</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Annually, signed and filed</w:t>
            </w:r>
          </w:p>
        </w:tc>
        <w:tc>
          <w:tcPr>
            <w:tcW w:type="dxa" w:w="21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Secretary</w:t>
            </w:r>
          </w:p>
        </w:tc>
      </w:tr>
      <w:tr>
        <w:tc>
          <w:tcPr>
            <w:tcW w:type="dxa" w:w="4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Banking and signatory resolutions review</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Annually and on any personnel change</w:t>
            </w:r>
          </w:p>
        </w:tc>
        <w:tc>
          <w:tcPr>
            <w:tcW w:type="dxa" w:w="21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Secretary / Treasurer</w:t>
            </w:r>
          </w:p>
        </w:tc>
      </w:tr>
      <w:tr>
        <w:tc>
          <w:tcPr>
            <w:tcW w:type="dxa" w:w="42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Insurance renewals (D&amp;O, liability)</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Before policy expiry</w:t>
            </w:r>
          </w:p>
        </w:tc>
        <w:tc>
          <w:tcPr>
            <w:tcW w:type="dxa" w:w="21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Treasurer / Management</w:t>
            </w:r>
          </w:p>
        </w:tc>
      </w:tr>
    </w:tbl>
    <w:p>
      <w:pPr>
        <w:spacing w:after="100" w:before="200"/>
      </w:pPr>
      <w:r>
        <w:rPr>
          <w:rFonts w:ascii="Arial" w:cs="Arial" w:eastAsia="Arial" w:hAnsi="Arial"/>
          <w:b/>
          <w:bCs/>
          <w:color w:val="2A261E"/>
          <w:sz w:val="24"/>
          <w:szCs w:val="24"/>
        </w:rPr>
        <w:t xml:space="preserve">Committee planning</w:t>
      </w:r>
    </w:p>
    <w:p>
      <w:pPr>
        <w:spacing w:after="100"/>
      </w:pPr>
      <w:r>
        <w:rPr>
          <w:rFonts w:ascii="Arial" w:cs="Arial" w:eastAsia="Arial" w:hAnsi="Arial"/>
          <w:sz w:val="22"/>
          <w:szCs w:val="22"/>
        </w:rPr>
        <w:t xml:space="preserve">Each standing committee should own a slice of the calendar: the audit committee owns the audit and financial review, the compensation or governance committee owns the CEO evaluation and board assessment, the finance committee owns the budget cycle. Committee chairs report against the calendar at each board meeting.</w:t>
      </w:r>
    </w:p>
    <w:p>
      <w:pPr>
        <w:spacing w:after="100" w:before="200"/>
      </w:pPr>
      <w:r>
        <w:rPr>
          <w:rFonts w:ascii="Arial" w:cs="Arial" w:eastAsia="Arial" w:hAnsi="Arial"/>
          <w:b/>
          <w:bCs/>
          <w:color w:val="2A261E"/>
          <w:sz w:val="24"/>
          <w:szCs w:val="24"/>
        </w:rPr>
        <w:t xml:space="preserve">Guidance notes</w:t>
      </w:r>
    </w:p>
    <w:p>
      <w:pPr>
        <w:pStyle w:val="ListParagraph"/>
        <w:numPr>
          <w:ilvl w:val="0"/>
          <w:numId w:val="2"/>
        </w:numPr>
        <w:spacing w:after="80"/>
      </w:pPr>
      <w:r>
        <w:rPr>
          <w:rFonts w:ascii="Arial" w:cs="Arial" w:eastAsia="Arial" w:hAnsi="Arial"/>
          <w:sz w:val="22"/>
          <w:szCs w:val="22"/>
        </w:rPr>
        <w:t xml:space="preserve">Adopt the calendar formally — a board that approves its year in advance misses far fewer deadlines.</w:t>
      </w:r>
    </w:p>
    <w:p>
      <w:pPr>
        <w:pStyle w:val="ListParagraph"/>
        <w:numPr>
          <w:ilvl w:val="0"/>
          <w:numId w:val="2"/>
        </w:numPr>
        <w:spacing w:after="80"/>
      </w:pPr>
      <w:r>
        <w:rPr>
          <w:rFonts w:ascii="Arial" w:cs="Arial" w:eastAsia="Arial" w:hAnsi="Arial"/>
          <w:sz w:val="22"/>
          <w:szCs w:val="22"/>
        </w:rPr>
        <w:t xml:space="preserve">Distribute the adopted calendar to every director and committee chair, and revisit it at each meeting.</w:t>
      </w:r>
    </w:p>
    <w:p>
      <w:pPr>
        <w:pStyle w:val="ListParagraph"/>
        <w:numPr>
          <w:ilvl w:val="0"/>
          <w:numId w:val="2"/>
        </w:numPr>
        <w:spacing w:after="80"/>
      </w:pPr>
      <w:r>
        <w:rPr>
          <w:rFonts w:ascii="Arial" w:cs="Arial" w:eastAsia="Arial" w:hAnsi="Arial"/>
          <w:sz w:val="22"/>
          <w:szCs w:val="22"/>
        </w:rPr>
        <w:t xml:space="preserve">Leave room for the unexpected — a calendar that is 100% full has no capacity for a crisis or an opportunity.</w:t>
      </w:r>
    </w:p>
    <w:p>
      <w:pPr>
        <w:pStyle w:val="ListParagraph"/>
        <w:numPr>
          <w:ilvl w:val="0"/>
          <w:numId w:val="2"/>
        </w:numPr>
        <w:spacing w:after="80"/>
      </w:pPr>
      <w:r>
        <w:rPr>
          <w:rFonts w:ascii="Arial" w:cs="Arial" w:eastAsia="Arial" w:hAnsi="Arial"/>
          <w:sz w:val="22"/>
          <w:szCs w:val="22"/>
        </w:rPr>
        <w:t xml:space="preserve">Banking and signatory resolutions should be reviewed whenever personnel change, not just annually.</w:t>
      </w:r>
    </w:p>
    <w:p>
      <w:pPr>
        <w:pStyle w:val="ListParagraph"/>
        <w:numPr>
          <w:ilvl w:val="0"/>
          <w:numId w:val="2"/>
        </w:numPr>
        <w:spacing w:after="80"/>
      </w:pPr>
      <w:r>
        <w:rPr>
          <w:rFonts w:ascii="Arial" w:cs="Arial" w:eastAsia="Arial" w:hAnsi="Arial"/>
          <w:sz w:val="22"/>
          <w:szCs w:val="22"/>
        </w:rPr>
        <w:t xml:space="preserve">If the organization is an ESOP, add the annual valuation, allocation, and distribution milestones to the calendar.</w:t>
      </w:r>
    </w:p>
    <w:p>
      <w:pPr>
        <w:spacing w:after="100" w:before="200"/>
      </w:pPr>
      <w:r>
        <w:rPr>
          <w:rFonts w:ascii="Arial" w:cs="Arial" w:eastAsia="Arial" w:hAnsi="Arial"/>
          <w:b/>
          <w:bCs/>
          <w:color w:val="2A261E"/>
          <w:sz w:val="24"/>
          <w:szCs w:val="24"/>
        </w:rPr>
        <w:t xml:space="preserve">Important qualifiers</w:t>
      </w:r>
    </w:p>
    <w:p>
      <w:pPr>
        <w:spacing w:after="40" w:before="120"/>
      </w:pPr>
      <w:r>
        <w:rPr>
          <w:rFonts w:ascii="Arial" w:cs="Arial" w:eastAsia="Arial" w:hAnsi="Arial"/>
          <w:b/>
          <w:bCs/>
          <w:color w:val="2A261E"/>
          <w:sz w:val="22"/>
          <w:szCs w:val="22"/>
        </w:rPr>
        <w:t xml:space="preserve">Legal counsel review is recommended</w:t>
      </w:r>
    </w:p>
    <w:p>
      <w:pPr>
        <w:spacing w:after="100"/>
      </w:pPr>
      <w:r>
        <w:rPr>
          <w:rFonts w:ascii="Arial" w:cs="Arial" w:eastAsia="Arial" w:hAnsi="Arial"/>
          <w:color w:val="5E5A53"/>
          <w:sz w:val="20"/>
          <w:szCs w:val="20"/>
        </w:rPr>
        <w:t xml:space="preserve">Have qualified legal counsel licensed in your state or jurisdiction review and adapt this material before your board adopts or relies on it.</w:t>
      </w:r>
    </w:p>
    <w:p>
      <w:pPr>
        <w:spacing w:after="40" w:before="120"/>
      </w:pPr>
      <w:r>
        <w:rPr>
          <w:rFonts w:ascii="Arial" w:cs="Arial" w:eastAsia="Arial" w:hAnsi="Arial"/>
          <w:b/>
          <w:bCs/>
          <w:color w:val="2A261E"/>
          <w:sz w:val="22"/>
          <w:szCs w:val="22"/>
        </w:rPr>
        <w:t xml:space="preserve">Educational model language only</w:t>
      </w:r>
    </w:p>
    <w:p>
      <w:pPr>
        <w:spacing w:after="100"/>
      </w:pPr>
      <w:r>
        <w:rPr>
          <w:rFonts w:ascii="Arial" w:cs="Arial" w:eastAsia="Arial" w:hAnsi="Arial"/>
          <w:color w:val="5E5A53"/>
          <w:sz w:val="20"/>
          <w:szCs w:val="20"/>
        </w:rPr>
        <w:t xml:space="preserve">This is a general model provided for educational purposes. It is not legal, tax, accounting, compensation, or compliance advice, and it does not create an attorney-client or advisory relationship.</w:t>
      </w:r>
    </w:p>
    <w:p>
      <w:pPr>
        <w:spacing w:after="40" w:before="120"/>
      </w:pPr>
      <w:r>
        <w:rPr>
          <w:rFonts w:ascii="Arial" w:cs="Arial" w:eastAsia="Arial" w:hAnsi="Arial"/>
          <w:b/>
          <w:bCs/>
          <w:color w:val="2A261E"/>
          <w:sz w:val="22"/>
          <w:szCs w:val="22"/>
        </w:rPr>
        <w:t xml:space="preserve">Tailor to your governing documents and law</w:t>
      </w:r>
    </w:p>
    <w:p>
      <w:pPr>
        <w:spacing w:after="100"/>
      </w:pPr>
      <w:r>
        <w:rPr>
          <w:rFonts w:ascii="Arial" w:cs="Arial" w:eastAsia="Arial" w:hAnsi="Arial"/>
          <w:color w:val="5E5A53"/>
          <w:sz w:val="20"/>
          <w:szCs w:val="20"/>
        </w:rPr>
        <w:t xml:space="preserve">Align it with your articles of incorporation, bylaws, applicable state corporate or nonprofit statutes, employment law, and any regulatory requirements that apply to your organization.</w:t>
      </w:r>
    </w:p>
    <w:p>
      <w:pPr>
        <w:spacing w:after="40" w:before="120"/>
      </w:pPr>
      <w:r>
        <w:rPr>
          <w:rFonts w:ascii="Arial" w:cs="Arial" w:eastAsia="Arial" w:hAnsi="Arial"/>
          <w:b/>
          <w:bCs/>
          <w:color w:val="2A261E"/>
          <w:sz w:val="22"/>
          <w:szCs w:val="22"/>
        </w:rPr>
        <w:t xml:space="preserve">Adopt and record formally</w:t>
      </w:r>
    </w:p>
    <w:p>
      <w:pPr>
        <w:spacing w:after="100"/>
      </w:pPr>
      <w:r>
        <w:rPr>
          <w:rFonts w:ascii="Arial" w:cs="Arial" w:eastAsia="Arial" w:hAnsi="Arial"/>
          <w:color w:val="5E5A53"/>
          <w:sz w:val="20"/>
          <w:szCs w:val="20"/>
        </w:rPr>
        <w:t xml:space="preserve">Approve the calendar by board vote or resolution, record it in the minutes, distribute it to every director and committee chair, and review it at each meeting.</w:t>
      </w:r>
    </w:p>
    <w:p>
      <w:pPr>
        <w:spacing w:before="200"/>
      </w:pPr>
      <w:r>
        <w:rPr>
          <w:rFonts w:ascii="Arial" w:cs="Arial" w:eastAsia="Arial" w:hAnsi="Arial"/>
          <w:i/>
          <w:iCs/>
          <w:color w:val="999999"/>
          <w:sz w:val="18"/>
          <w:szCs w:val="18"/>
        </w:rPr>
        <w:t xml:space="preserve">This resource is provided for educational purposes only and does not constitute legal, tax, accounting, compensation, or compliance advice.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t xml:space="preserve">Page </w:t>
    </w:r>
    <w:r>
      <w:rPr>
        <w:rFonts w:ascii="Arial" w:cs="Arial" w:eastAsia="Arial" w:hAnsi="Arial"/>
        <w:sz w:val="18"/>
        <w:szCs w:val="18"/>
      </w:rPr>
      <w:fldChar w:fldCharType="begin"/>
      <w:instrText xml:space="preserve">PAGE</w:instrText>
      <w:fldChar w:fldCharType="separate"/>
      <w:fldChar w:fldCharType="end"/>
    </w:r>
    <w:r>
      <w:rPr>
        <w:rFonts w:ascii="Arial" w:cs="Arial" w:eastAsia="Arial" w:hAnsi="Arial"/>
        <w:sz w:val="18"/>
        <w:szCs w:val="18"/>
      </w:rPr>
      <w:t xml:space="preserve"> of </w:t>
    </w:r>
    <w:r>
      <w:rPr>
        <w:rFonts w:ascii="Arial" w:cs="Arial" w:eastAsia="Arial" w:hAnsi="Arial"/>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999999"/>
        <w:sz w:val="16"/>
        <w:szCs w:val="16"/>
      </w:rPr>
      <w:t xml:space="preserve">Annual Board &amp; Committee Calendar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2026-09-24T05:21:08.459Z</dcterms:created>
  <dcterms:modified xsi:type="dcterms:W3CDTF">2026-09-24T05:21:08.459Z</dcterms:modified>
</cp:coreProperties>
</file>

<file path=docProps/custom.xml><?xml version="1.0" encoding="utf-8"?>
<Properties xmlns="http://schemas.openxmlformats.org/officeDocument/2006/custom-properties" xmlns:vt="http://schemas.openxmlformats.org/officeDocument/2006/docPropsVTypes"/>
</file>