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5C3F"/>
          <w:sz w:val="28"/>
          <w:szCs w:val="28"/>
        </w:rPr>
        <w:t xml:space="preserve">Leonidas Consulting</w:t>
      </w:r>
    </w:p>
    <w:p>
      <w:pPr>
        <w:pBdr>
          <w:bottom w:val="single" w:color="1F5C3F" w:sz="6" w:space="4"/>
        </w:pBdr>
        <w:spacing w:after="360"/>
      </w:pPr>
      <w:r>
        <w:rPr>
          <w:color w:val="666666"/>
          <w:sz w:val="18"/>
          <w:szCs w:val="18"/>
        </w:rPr>
        <w:t xml:space="preserve">Board Advisory · Leadership Development · ESOP &amp; Ownership Advisory</w:t>
      </w:r>
    </w:p>
    <w:p>
      <w:pPr>
        <w:pStyle w:val="Heading1"/>
      </w:pPr>
      <w:r>
        <w:t xml:space="preserve">Artificial Intelligence Use Policy</w:t>
      </w:r>
    </w:p>
    <w:p>
      <w:pPr>
        <w:spacing w:after="160"/>
      </w:pPr>
      <w:r>
        <w:rPr>
          <w:i/>
          <w:iCs/>
          <w:color w:val="555555"/>
        </w:rPr>
        <w:t xml:space="preserve">Corporate version — model policy for organizational use of AI</w:t>
      </w:r>
    </w:p>
    <w:p>
      <w:pPr>
        <w:spacing w:after="160"/>
      </w:pPr>
      <w:r>
        <w:t xml:space="preserve">Organization: ________________________________</w:t>
      </w:r>
    </w:p>
    <w:p>
      <w:pPr>
        <w:spacing w:after="120"/>
      </w:pPr>
      <w:r>
        <w:rPr>
          <w:b/>
          <w:bCs/>
        </w:rPr>
        <w:t xml:space="preserve">Policy owner: </w:t>
      </w:r>
      <w:r>
        <w:t xml:space="preserve">________________________________</w:t>
      </w:r>
    </w:p>
    <w:p>
      <w:pPr>
        <w:spacing w:after="120"/>
      </w:pPr>
      <w:r>
        <w:rPr>
          <w:b/>
          <w:bCs/>
        </w:rPr>
        <w:t xml:space="preserve">Approved by board on: </w:t>
      </w:r>
      <w:r>
        <w:t xml:space="preserve">________________________________</w:t>
      </w:r>
    </w:p>
    <w:p>
      <w:pPr>
        <w:spacing w:after="120"/>
      </w:pPr>
      <w:r>
        <w:rPr>
          <w:b/>
          <w:bCs/>
        </w:rPr>
        <w:t xml:space="preserve">Next review date: </w:t>
      </w:r>
      <w:r>
        <w:t xml:space="preserve">________________________________</w:t>
      </w:r>
    </w:p>
    <w:p>
      <w:pPr>
        <w:pStyle w:val="Heading2"/>
      </w:pPr>
      <w:r>
        <w:t xml:space="preserve">1. Purpose and scope</w:t>
      </w:r>
    </w:p>
    <w:p>
      <w:pPr>
        <w:spacing w:after="160"/>
      </w:pPr>
      <w:r>
        <w:t xml:space="preserve">This policy governs the use of artificial intelligence tools — including generative AI and AI features embedded in other software — by everyone doing work for the organization. Its purpose is to capture the value of AI while protecting the organization, its people, and those it serves.</w:t>
      </w:r>
    </w:p>
    <w:p>
      <w:pPr>
        <w:spacing w:after="120"/>
        <w:ind w:left="360"/>
      </w:pPr>
      <w:r>
        <w:rPr>
          <w:i/>
          <w:iCs/>
        </w:rPr>
        <w:t xml:space="preserve">Policy applies to:</w:t>
      </w:r>
    </w:p>
    <w:p>
      <w:pPr>
        <w:spacing w:after="120"/>
        <w:ind w:left="360"/>
      </w:pPr>
      <w:r>
        <w:rPr>
          <w:i/>
          <w:iCs/>
        </w:rPr>
        <w:t xml:space="preserve">Definition of AI tools covered:</w:t>
      </w:r>
    </w:p>
    <w:p>
      <w:pPr>
        <w:pStyle w:val="Heading2"/>
      </w:pPr>
      <w:r>
        <w:t xml:space="preserve">2. Approved tools and permitted uses</w:t>
      </w:r>
    </w:p>
    <w:p>
      <w:pPr>
        <w:spacing w:after="160"/>
      </w:pPr>
      <w:r>
        <w:t xml:space="preserve">The organization maintains a register of approved AI tools and the uses permitted for each. Uses are grouped into three classes: permitted without approval, requiring written approval, and prohibited.</w:t>
      </w:r>
    </w:p>
    <w:p>
      <w:pPr>
        <w:spacing w:after="120"/>
        <w:ind w:left="360"/>
      </w:pPr>
      <w:r>
        <w:rPr>
          <w:i/>
          <w:iCs/>
        </w:rPr>
        <w:t xml:space="preserve">Permitted without approval:</w:t>
      </w:r>
    </w:p>
    <w:p>
      <w:pPr>
        <w:spacing w:after="120"/>
        <w:ind w:left="360"/>
      </w:pPr>
      <w:r>
        <w:rPr>
          <w:i/>
          <w:iCs/>
        </w:rPr>
        <w:t xml:space="preserve">Requires written approval:</w:t>
      </w:r>
    </w:p>
    <w:p>
      <w:pPr>
        <w:spacing w:after="120"/>
        <w:ind w:left="360"/>
      </w:pPr>
      <w:r>
        <w:rPr>
          <w:i/>
          <w:iCs/>
        </w:rPr>
        <w:t xml:space="preserve">Prohibited:</w:t>
      </w:r>
    </w:p>
    <w:p>
      <w:pPr>
        <w:pStyle w:val="Heading2"/>
      </w:pPr>
      <w:r>
        <w:t xml:space="preserve">3. Data protection and confidentiality</w:t>
      </w:r>
    </w:p>
    <w:p>
      <w:pPr>
        <w:spacing w:after="160"/>
      </w:pPr>
      <w:r>
        <w:t xml:space="preserve">No confidential, proprietary, personal, or material non-public information may be entered into a public AI tool. This includes customer, donor, client, employee, and financial data, trade secrets, and board materials.</w:t>
      </w:r>
    </w:p>
    <w:p>
      <w:pPr>
        <w:pStyle w:val="Heading2"/>
      </w:pPr>
      <w:r>
        <w:t xml:space="preserve">4. Accuracy, review, and human accountability</w:t>
      </w:r>
    </w:p>
    <w:p>
      <w:pPr>
        <w:spacing w:after="160"/>
      </w:pPr>
      <w:r>
        <w:t xml:space="preserve">AI output is a draft, never a decision. Any AI-generated content used in decisions, external communications, or filings must be reviewed by a person, and accountability for the final work product stays with that person.</w:t>
      </w:r>
    </w:p>
    <w:p>
      <w:pPr>
        <w:pStyle w:val="Heading2"/>
      </w:pPr>
      <w:r>
        <w:t xml:space="preserve">5. Intellectual property and attribution</w:t>
      </w:r>
    </w:p>
    <w:p>
      <w:pPr>
        <w:spacing w:after="160"/>
      </w:pPr>
      <w:r>
        <w:t xml:space="preserve">Address ownership of AI-assisted work product, the copyright uncertainty around AI-generated content, and when use of AI must be disclosed to customers, funders, or counterparties.</w:t>
      </w:r>
    </w:p>
    <w:p>
      <w:pPr>
        <w:pStyle w:val="Heading2"/>
      </w:pPr>
      <w:r>
        <w:t xml:space="preserve">6. Vendors and third-party AI</w:t>
      </w:r>
    </w:p>
    <w:p>
      <w:pPr>
        <w:spacing w:after="160"/>
      </w:pPr>
      <w:r>
        <w:t xml:space="preserve">AI features embedded in vendor software require due diligence: what data the vendor's AI trains on, where data is stored, and what the contract says about it.</w:t>
      </w:r>
    </w:p>
    <w:p>
      <w:pPr>
        <w:pStyle w:val="Heading2"/>
      </w:pPr>
      <w:r>
        <w:t xml:space="preserve">7. Incident reporting and enforcement</w:t>
      </w:r>
    </w:p>
    <w:p>
      <w:pPr>
        <w:spacing w:after="160"/>
      </w:pPr>
      <w:r>
        <w:t xml:space="preserve">An AI incident includes data entered into an unapproved tool, AI output published without review, or a vendor AI breach. Incidents and near misses must be reported promptly; reporting is protected. Violations of this policy may result in disciplinary action.</w:t>
      </w:r>
    </w:p>
    <w:p>
      <w:pPr>
        <w:pStyle w:val="Heading2"/>
      </w:pPr>
      <w:r>
        <w:t xml:space="preserve">8. Policy review and ownership</w:t>
      </w:r>
    </w:p>
    <w:p>
      <w:pPr>
        <w:spacing w:after="160"/>
      </w:pPr>
      <w:r>
        <w:t xml:space="preserve">The policy owner, the board committee with oversight, and an annual review cycle are named below. Interim updates may be made as AI practice evolves.</w:t>
      </w:r>
    </w:p>
    <w:p>
      <w:pPr>
        <w:spacing w:after="120"/>
        <w:ind w:left="360"/>
      </w:pPr>
      <w:r>
        <w:rPr>
          <w:i/>
          <w:iCs/>
        </w:rPr>
        <w:t xml:space="preserve">Policy owner:</w:t>
      </w:r>
    </w:p>
    <w:p>
      <w:pPr>
        <w:spacing w:after="120"/>
        <w:ind w:left="360"/>
      </w:pPr>
      <w:r>
        <w:rPr>
          <w:i/>
          <w:iCs/>
        </w:rPr>
        <w:t xml:space="preserve">Board oversight committee:</w:t>
      </w:r>
    </w:p>
    <w:p>
      <w:pPr>
        <w:spacing w:after="120" w:before="240"/>
      </w:pPr>
      <w:r>
        <w:rPr>
          <w:b/>
          <w:bCs/>
          <w:color w:val="1F5C3F"/>
        </w:rPr>
        <w:t xml:space="preserve">Approved AI tools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Tool</w:t>
            </w:r>
          </w:p>
        </w:tc>
        <w:tc>
          <w:tcPr>
            <w:tcW w:type="dxa" w:w="1872"/>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Approved uses</w:t>
            </w:r>
          </w:p>
        </w:tc>
        <w:tc>
          <w:tcPr>
            <w:tcW w:type="dxa" w:w="1872"/>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Data classification allowed</w:t>
            </w:r>
          </w:p>
        </w:tc>
        <w:tc>
          <w:tcPr>
            <w:tcW w:type="dxa" w:w="1872"/>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Business owner</w:t>
            </w:r>
          </w:p>
        </w:tc>
        <w:tc>
          <w:tcPr>
            <w:tcW w:type="dxa" w:w="1872"/>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Review date</w:t>
            </w:r>
          </w:p>
        </w:tc>
      </w:tr>
      <w:tr>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bl>
    <w:p>
      <w:pPr>
        <w:pStyle w:val="Heading2"/>
      </w:pPr>
      <w:r>
        <w:t xml:space="preserve">Guidance notes</w:t>
      </w:r>
    </w:p>
    <w:p>
      <w:pPr>
        <w:pStyle w:val="ListParagraph"/>
        <w:numPr>
          <w:ilvl w:val="0"/>
          <w:numId w:val="2"/>
        </w:numPr>
      </w:pPr>
      <w:r>
        <w:t xml:space="preserve">Write the prohibited-uses list in plain language with examples.</w:t>
      </w:r>
    </w:p>
    <w:p>
      <w:pPr>
        <w:pStyle w:val="ListParagraph"/>
        <w:numPr>
          <w:ilvl w:val="0"/>
          <w:numId w:val="2"/>
        </w:numPr>
      </w:pPr>
      <w:r>
        <w:t xml:space="preserve">Keep the approved-tools register current and easy to find.</w:t>
      </w:r>
    </w:p>
    <w:p>
      <w:pPr>
        <w:pStyle w:val="ListParagraph"/>
        <w:numPr>
          <w:ilvl w:val="0"/>
          <w:numId w:val="2"/>
        </w:numPr>
      </w:pPr>
      <w:r>
        <w:t xml:space="preserve">Board materials belong in the data-protection section explicitly.</w:t>
      </w:r>
    </w:p>
    <w:p>
      <w:pPr>
        <w:pStyle w:val="ListParagraph"/>
        <w:numPr>
          <w:ilvl w:val="0"/>
          <w:numId w:val="2"/>
        </w:numPr>
      </w:pPr>
      <w:r>
        <w:t xml:space="preserve">Adopt by board or committee resolution, record it in the minutes, and review at least annually.</w:t>
      </w:r>
    </w:p>
    <w:p>
      <w:r>
        <w:br w:type="page"/>
      </w:r>
    </w:p>
    <w:p>
      <w:pPr>
        <w:spacing w:after="160"/>
      </w:pPr>
      <w:r>
        <w:rPr>
          <w:i/>
          <w:iCs/>
          <w:color w:val="666666"/>
          <w:sz w:val="18"/>
          <w:szCs w:val="18"/>
        </w:rPr>
        <w:t xml:space="preserve">This template is provided by Leonidas Consulting for educational purposes only. It is model language, not legal advice. Have qualified legal counsel review any policy, charter, or assessment before adoption, tailor it to your governing documents, and record formal adoption in your minutes.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Arial" w:cs="Arial" w:eastAsia="Arial" w:hAnsi="Arial"/>
      <w:b/>
      <w:bCs/>
      <w:color w:val="1F5C3F"/>
      <w:sz w:val="36"/>
      <w:szCs w:val="36"/>
    </w:rPr>
  </w:style>
  <w:style w:type="paragraph" w:styleId="Heading2">
    <w:name w:val="Heading 2"/>
    <w:basedOn w:val="Normal"/>
    <w:next w:val="Normal"/>
    <w:qFormat/>
    <w:pPr>
      <w:spacing w:after="160" w:before="200"/>
      <w:outlineLvl w:val="1"/>
    </w:pPr>
    <w:rPr>
      <w:rFonts w:ascii="Arial" w:cs="Arial" w:eastAsia="Arial" w:hAnsi="Arial"/>
      <w:b/>
      <w:bCs/>
      <w:color w:val="1F5C3F"/>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2026-09-27T23:19:12.099Z</dcterms:created>
  <dcterms:modified xsi:type="dcterms:W3CDTF">2026-09-27T23:19:12.100Z</dcterms:modified>
</cp:coreProperties>
</file>

<file path=docProps/custom.xml><?xml version="1.0" encoding="utf-8"?>
<Properties xmlns="http://schemas.openxmlformats.org/officeDocument/2006/custom-properties" xmlns:vt="http://schemas.openxmlformats.org/officeDocument/2006/docPropsVTypes"/>
</file>