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1F5C3F"/>
          <w:sz w:val="28"/>
          <w:szCs w:val="28"/>
        </w:rPr>
        <w:t xml:space="preserve">Leonidas Consulting</w:t>
      </w:r>
    </w:p>
    <w:p>
      <w:pPr>
        <w:pBdr>
          <w:bottom w:val="single" w:color="1F5C3F" w:sz="6" w:space="4"/>
        </w:pBdr>
        <w:spacing w:after="360"/>
      </w:pPr>
      <w:r>
        <w:rPr>
          <w:color w:val="666666"/>
          <w:sz w:val="18"/>
          <w:szCs w:val="18"/>
        </w:rPr>
        <w:t xml:space="preserve">Board Advisory · Leadership Development · ESOP &amp; Ownership Advisory</w:t>
      </w:r>
    </w:p>
    <w:p>
      <w:pPr>
        <w:pStyle w:val="Heading1"/>
      </w:pPr>
      <w:r>
        <w:t xml:space="preserve">AI Risk &amp; Readiness Assessment</w:t>
      </w:r>
    </w:p>
    <w:p>
      <w:pPr>
        <w:spacing w:after="160"/>
      </w:pPr>
      <w:r>
        <w:rPr>
          <w:i/>
          <w:iCs/>
          <w:color w:val="555555"/>
        </w:rPr>
        <w:t xml:space="preserve">Corporate version — six-area board readiness checklist</w:t>
      </w:r>
    </w:p>
    <w:p>
      <w:pPr>
        <w:spacing w:after="160"/>
      </w:pPr>
      <w:r>
        <w:t xml:space="preserve">Organization: ________________________________</w:t>
      </w:r>
    </w:p>
    <w:p>
      <w:pPr>
        <w:spacing w:after="120"/>
      </w:pPr>
      <w:r>
        <w:rPr>
          <w:b/>
          <w:bCs/>
        </w:rPr>
        <w:t xml:space="preserve">Assessment completed by: </w:t>
      </w:r>
      <w:r>
        <w:t xml:space="preserve">________________________________</w:t>
      </w:r>
    </w:p>
    <w:p>
      <w:pPr>
        <w:spacing w:after="120"/>
      </w:pPr>
      <w:r>
        <w:rPr>
          <w:b/>
          <w:bCs/>
        </w:rPr>
        <w:t xml:space="preserve">Date completed: </w:t>
      </w:r>
      <w:r>
        <w:t xml:space="preserve">________________________________</w:t>
      </w:r>
    </w:p>
    <w:p>
      <w:pPr>
        <w:spacing w:after="120"/>
      </w:pPr>
      <w:r>
        <w:rPr>
          <w:b/>
          <w:bCs/>
        </w:rPr>
        <w:t xml:space="preserve">Reviewed by board / committee on: </w:t>
      </w:r>
      <w:r>
        <w:t xml:space="preserve">________________________________</w:t>
      </w:r>
    </w:p>
    <w:p>
      <w:pPr>
        <w:pStyle w:val="Heading2"/>
      </w:pPr>
      <w:r>
        <w:t xml:space="preserve">1. How to use this assessment</w:t>
      </w:r>
    </w:p>
    <w:p>
      <w:pPr>
        <w:spacing w:after="160"/>
      </w:pPr>
      <w:r>
        <w:t xml:space="preserve">Management completes the checklist first, then the board or its AI oversight committee reviews it together. Mark each item In place, In progress, Not started, or N/A — and write the evidence, not just the status. The gaps become the work plan.</w:t>
      </w:r>
    </w:p>
    <w:p>
      <w:pPr>
        <w:pStyle w:val="Heading2"/>
      </w:pPr>
      <w:r>
        <w:t xml:space="preserve">2. Scoring</w:t>
      </w:r>
    </w:p>
    <w:p>
      <w:pPr>
        <w:spacing w:after="160"/>
      </w:pPr>
      <w:r>
        <w:t xml:space="preserve">Count the items Not started or In progress in each area. Any area with more than two gaps deserves a named owner and a date. Re-run the assessment annually and compare.</w:t>
      </w:r>
    </w:p>
    <w:p>
      <w:pPr>
        <w:spacing w:after="120" w:before="240"/>
      </w:pPr>
      <w:r>
        <w:rPr>
          <w:b/>
          <w:bCs/>
          <w:color w:val="1F5C3F"/>
        </w:rPr>
        <w:t xml:space="preserve">1. Governance and oversight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Checklist item</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Status</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Evidence / notes</w:t>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1.1</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AI oversight is explicitly assigned to a board committee or the full board</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1.2</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The board has adopted a written AI use policy</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1.3</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 current inventory of AI tools in use across the organization exists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1.4</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AI risk is on the risk register / in board risk discussions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1.5</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The board receives a regular AI report from management</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bl>
    <w:p>
      <w:pPr>
        <w:spacing w:after="120" w:before="240"/>
      </w:pPr>
      <w:r>
        <w:rPr>
          <w:b/>
          <w:bCs/>
          <w:color w:val="1F5C3F"/>
        </w:rPr>
        <w:t xml:space="preserve">2. Strategy and opportunity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Checklist item</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Status</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Evidence / notes</w:t>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2.1</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Management has articulated where AI creates value in the strategy</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2.2</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Significant AI investments come to the board with a business case</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2.3</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The board has discussed how peer organizations are using AI</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2.4</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AI opportunities are weighed against risks in a written framework</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bl>
    <w:p>
      <w:pPr>
        <w:spacing w:after="120" w:before="240"/>
      </w:pPr>
      <w:r>
        <w:rPr>
          <w:b/>
          <w:bCs/>
          <w:color w:val="1F5C3F"/>
        </w:rPr>
        <w:t xml:space="preserve">3. Data and security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Checklist item</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Status</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Evidence / notes</w:t>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3.1</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Rules exist for what data may enter AI tools — and are enforced</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3.2</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Customer and employee data is protected from public AI tools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3.3</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Cybersecurity controls account for AI-enabled attacks (phishing, deepfakes)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3.4</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Payment and wire-transfer verification is resistant to voice/video impersonation</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bl>
    <w:p>
      <w:pPr>
        <w:spacing w:after="120" w:before="240"/>
      </w:pPr>
      <w:r>
        <w:rPr>
          <w:b/>
          <w:bCs/>
          <w:color w:val="1F5C3F"/>
        </w:rPr>
        <w:t xml:space="preserve">4. Legal and regulatory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Checklist item</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Status</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Evidence / notes</w:t>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4.1</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Counsel has reviewed AI use in regulated activities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4.2</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Contracts address vendor AI use of organizational data</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4.3</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Intellectual property ownership of AI-assisted work is addressed</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4.4</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The organization monitors AI regulation in its jurisdictions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bl>
    <w:p>
      <w:pPr>
        <w:spacing w:after="120" w:before="240"/>
      </w:pPr>
      <w:r>
        <w:rPr>
          <w:b/>
          <w:bCs/>
          <w:color w:val="1F5C3F"/>
        </w:rPr>
        <w:t xml:space="preserve">5. People and culture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Checklist item</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Status</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Evidence / notes</w:t>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5.1</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Employees have been trained on the AI use policy</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5.2</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Directors have had AI education in the last 12 months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5.3</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Someone owns AI incident response</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5.4</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The workforce impact of AI is part of talent planning</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bl>
    <w:p>
      <w:pPr>
        <w:spacing w:after="120" w:before="240"/>
      </w:pPr>
      <w:r>
        <w:rPr>
          <w:b/>
          <w:bCs/>
          <w:color w:val="1F5C3F"/>
        </w:rPr>
        <w:t xml:space="preserve">6. Vendors and third parties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Checklist item</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Status</w:t>
            </w:r>
          </w:p>
        </w:tc>
        <w:tc>
          <w:tcPr>
            <w:tcW w:type="dxa" w:w="2340"/>
            <w:tcBorders>
              <w:top w:val="single" w:color="BBBBBB" w:sz="1"/>
              <w:left w:val="single" w:color="BBBBBB" w:sz="1"/>
              <w:bottom w:val="single" w:color="BBBBBB" w:sz="1"/>
              <w:right w:val="single" w:color="BBBBBB" w:sz="1"/>
            </w:tcBorders>
            <w:shd w:fill="E7F0EA" w:val="clear"/>
            <w:tcMar>
              <w:top w:type="dxa" w:w="60"/>
              <w:left w:type="dxa" w:w="100"/>
              <w:bottom w:type="dxa" w:w="60"/>
              <w:right w:type="dxa" w:w="100"/>
            </w:tcMar>
          </w:tcPr>
          <w:p>
            <w:r>
              <w:rPr>
                <w:b/>
                <w:bCs/>
                <w:sz w:val="20"/>
                <w:szCs w:val="20"/>
              </w:rPr>
              <w:t xml:space="preserve">Evidence / notes</w:t>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6.1</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Key vendors' AI features are inventoried and understood</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6.2</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Vendor contracts address data use by embedded AI</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r>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6.3</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Vendor AI incidents are covered by incident-reporting requirements</w:t>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c>
          <w:tcPr>
            <w:tcW w:type="dxa" w:w="2340"/>
            <w:tcBorders>
              <w:top w:val="single" w:color="BBBBBB" w:sz="1"/>
              <w:left w:val="single" w:color="BBBBBB" w:sz="1"/>
              <w:bottom w:val="single" w:color="BBBBBB" w:sz="1"/>
              <w:right w:val="single" w:color="BBBBBB" w:sz="1"/>
            </w:tcBorders>
            <w:tcMar>
              <w:top w:type="dxa" w:w="60"/>
              <w:left w:type="dxa" w:w="100"/>
              <w:bottom w:type="dxa" w:w="60"/>
              <w:right w:type="dxa" w:w="100"/>
            </w:tcMar>
          </w:tcPr>
          <w:p>
            <w:r>
              <w:rPr>
                <w:b w:val="false"/>
                <w:bCs w:val="false"/>
                <w:sz w:val="20"/>
                <w:szCs w:val="20"/>
              </w:rPr>
              <w:t xml:space="preserve"/>
            </w:r>
          </w:p>
        </w:tc>
      </w:tr>
    </w:tbl>
    <w:p>
      <w:pPr>
        <w:pStyle w:val="Heading2"/>
      </w:pPr>
      <w:r>
        <w:t xml:space="preserve">Guidance notes</w:t>
      </w:r>
    </w:p>
    <w:p>
      <w:pPr>
        <w:pStyle w:val="ListParagraph"/>
        <w:numPr>
          <w:ilvl w:val="0"/>
          <w:numId w:val="2"/>
        </w:numPr>
      </w:pPr>
      <w:r>
        <w:t xml:space="preserve">Honest scoring beats reassuring scoring.</w:t>
      </w:r>
    </w:p>
    <w:p>
      <w:pPr>
        <w:pStyle w:val="ListParagraph"/>
        <w:numPr>
          <w:ilvl w:val="0"/>
          <w:numId w:val="2"/>
        </w:numPr>
      </w:pPr>
      <w:r>
        <w:t xml:space="preserve">Require evidence for every 'In place' answer.</w:t>
      </w:r>
    </w:p>
    <w:p>
      <w:pPr>
        <w:pStyle w:val="ListParagraph"/>
        <w:numPr>
          <w:ilvl w:val="0"/>
          <w:numId w:val="2"/>
        </w:numPr>
      </w:pPr>
      <w:r>
        <w:t xml:space="preserve">Every gap gets an owner and a date.</w:t>
      </w:r>
    </w:p>
    <w:p>
      <w:pPr>
        <w:pStyle w:val="ListParagraph"/>
        <w:numPr>
          <w:ilvl w:val="0"/>
          <w:numId w:val="2"/>
        </w:numPr>
      </w:pPr>
      <w:r>
        <w:t xml:space="preserve">Re-run annually and compare scores — progress is the point.</w:t>
      </w:r>
    </w:p>
    <w:p>
      <w:r>
        <w:br w:type="page"/>
      </w:r>
    </w:p>
    <w:p>
      <w:pPr>
        <w:spacing w:after="160"/>
      </w:pPr>
      <w:r>
        <w:rPr>
          <w:i/>
          <w:iCs/>
          <w:color w:val="666666"/>
          <w:sz w:val="18"/>
          <w:szCs w:val="18"/>
        </w:rPr>
        <w:t xml:space="preserve">This template is provided by Leonidas Consulting for educational purposes only. It is model language, not legal advice. Have qualified legal counsel review any policy, charter, or assessment before adoption, tailor it to your governing documents, and record formal adoption in your minutes.</w:t>
      </w:r>
    </w:p>
    <w:sectPr>
      <w:pgSz w:w="12240" w:h="15840"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outlineLvl w:val="0"/>
    </w:pPr>
    <w:rPr>
      <w:rFonts w:ascii="Arial" w:cs="Arial" w:eastAsia="Arial" w:hAnsi="Arial"/>
      <w:b/>
      <w:bCs/>
      <w:color w:val="1F5C3F"/>
      <w:sz w:val="36"/>
      <w:szCs w:val="36"/>
    </w:rPr>
  </w:style>
  <w:style w:type="paragraph" w:styleId="Heading2">
    <w:name w:val="Heading 2"/>
    <w:basedOn w:val="Normal"/>
    <w:next w:val="Normal"/>
    <w:qFormat/>
    <w:pPr>
      <w:spacing w:after="160" w:before="200"/>
      <w:outlineLvl w:val="1"/>
    </w:pPr>
    <w:rPr>
      <w:rFonts w:ascii="Arial" w:cs="Arial" w:eastAsia="Arial" w:hAnsi="Arial"/>
      <w:b/>
      <w:bCs/>
      <w:color w:val="1F5C3F"/>
      <w:sz w:val="28"/>
      <w:szCs w:val="28"/>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2026-09-27T23:19:12.227Z</dcterms:created>
  <dcterms:modified xsi:type="dcterms:W3CDTF">2026-09-27T23:19:12.227Z</dcterms:modified>
</cp:coreProperties>
</file>

<file path=docProps/custom.xml><?xml version="1.0" encoding="utf-8"?>
<Properties xmlns="http://schemas.openxmlformats.org/officeDocument/2006/custom-properties" xmlns:vt="http://schemas.openxmlformats.org/officeDocument/2006/docPropsVTypes"/>
</file>