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5C3F"/>
          <w:sz w:val="28"/>
          <w:szCs w:val="28"/>
        </w:rPr>
        <w:t xml:space="preserve">Leonidas Consulting</w:t>
      </w:r>
    </w:p>
    <w:p>
      <w:pPr>
        <w:pBdr>
          <w:bottom w:val="single" w:color="1F5C3F" w:sz="6" w:space="4"/>
        </w:pBdr>
        <w:spacing w:after="360"/>
      </w:pPr>
      <w:r>
        <w:rPr>
          <w:color w:val="666666"/>
          <w:sz w:val="18"/>
          <w:szCs w:val="18"/>
        </w:rPr>
        <w:t xml:space="preserve">Board Advisory · Leadership Development · ESOP &amp; Ownership Advisory</w:t>
      </w:r>
    </w:p>
    <w:p>
      <w:pPr>
        <w:pStyle w:val="Heading1"/>
      </w:pPr>
      <w:r>
        <w:t xml:space="preserve">AI Governance Committee Charter</w:t>
      </w:r>
    </w:p>
    <w:p>
      <w:pPr>
        <w:spacing w:after="160"/>
      </w:pPr>
      <w:r>
        <w:rPr>
          <w:i/>
          <w:iCs/>
          <w:color w:val="555555"/>
        </w:rPr>
        <w:t xml:space="preserve">Corporate version — charter for the committee responsible for AI oversight</w:t>
      </w:r>
    </w:p>
    <w:p>
      <w:pPr>
        <w:spacing w:after="160"/>
      </w:pPr>
      <w:r>
        <w:t xml:space="preserve">Organization: ________________________________</w:t>
      </w:r>
    </w:p>
    <w:p>
      <w:pPr>
        <w:spacing w:after="120"/>
      </w:pPr>
      <w:r>
        <w:rPr>
          <w:b/>
          <w:bCs/>
        </w:rPr>
        <w:t xml:space="preserve">Committee name: </w:t>
      </w:r>
      <w:r>
        <w:t xml:space="preserve">________________________________</w:t>
      </w:r>
    </w:p>
    <w:p>
      <w:pPr>
        <w:spacing w:after="120"/>
      </w:pPr>
      <w:r>
        <w:rPr>
          <w:b/>
          <w:bCs/>
        </w:rPr>
        <w:t xml:space="preserve">Adopted by board resolution on: </w:t>
      </w:r>
      <w:r>
        <w:t xml:space="preserve">________________________________</w:t>
      </w:r>
    </w:p>
    <w:p>
      <w:pPr>
        <w:spacing w:after="120"/>
      </w:pPr>
      <w:r>
        <w:rPr>
          <w:b/>
          <w:bCs/>
        </w:rPr>
        <w:t xml:space="preserve">Last reviewed: </w:t>
      </w:r>
      <w:r>
        <w:t xml:space="preserve">________________________________</w:t>
      </w:r>
    </w:p>
    <w:p>
      <w:pPr>
        <w:pStyle w:val="Heading2"/>
      </w:pPr>
      <w:r>
        <w:t xml:space="preserve">1. Purpose</w:t>
      </w:r>
    </w:p>
    <w:p>
      <w:pPr>
        <w:spacing w:after="160"/>
      </w:pPr>
      <w:r>
        <w:t xml:space="preserve">The committee assists the board in overseeing the company's development and use of artificial intelligence — capturing its strategic value while managing its risks to the business, its customers, and its reputation.</w:t>
      </w:r>
    </w:p>
    <w:p>
      <w:pPr>
        <w:pStyle w:val="Heading2"/>
      </w:pPr>
      <w:r>
        <w:t xml:space="preserve">2. Authority</w:t>
      </w:r>
    </w:p>
    <w:p>
      <w:pPr>
        <w:spacing w:after="160"/>
      </w:pPr>
      <w:r>
        <w:t xml:space="preserve">The committee investigates and recommends; the full board decides. The committee may access records, interview management, and retain independent advisors at the organization's expense, within a budget the board approves.</w:t>
      </w:r>
    </w:p>
    <w:p>
      <w:pPr>
        <w:pStyle w:val="Heading2"/>
      </w:pPr>
      <w:r>
        <w:t xml:space="preserve">3. Composition and membership</w:t>
      </w:r>
    </w:p>
    <w:p>
      <w:pPr>
        <w:spacing w:after="160"/>
      </w:pPr>
      <w:r>
        <w:t xml:space="preserve">Three to five directors. Members must have AI literacy or a documented commitment to build it. The board may invite a non-director with technical depth to serve as an advisor, where the bylaws permit.</w:t>
      </w:r>
    </w:p>
    <w:p>
      <w:pPr>
        <w:spacing w:after="120"/>
        <w:ind w:left="360"/>
      </w:pPr>
      <w:r>
        <w:rPr>
          <w:i/>
          <w:iCs/>
        </w:rPr>
        <w:t xml:space="preserve">Number of members:</w:t>
      </w:r>
    </w:p>
    <w:p>
      <w:pPr>
        <w:spacing w:after="120"/>
        <w:ind w:left="360"/>
      </w:pPr>
      <w:r>
        <w:rPr>
          <w:i/>
          <w:iCs/>
        </w:rPr>
        <w:t xml:space="preserve">AI literacy expectation:</w:t>
      </w:r>
    </w:p>
    <w:p>
      <w:pPr>
        <w:spacing w:after="120"/>
        <w:ind w:left="360"/>
      </w:pPr>
      <w:r>
        <w:rPr>
          <w:i/>
          <w:iCs/>
        </w:rPr>
        <w:t xml:space="preserve">Non-director advisors permitted:</w:t>
      </w:r>
    </w:p>
    <w:p>
      <w:pPr>
        <w:pStyle w:val="Heading2"/>
      </w:pPr>
      <w:r>
        <w:t xml:space="preserve">4. Meetings</w:t>
      </w:r>
    </w:p>
    <w:p>
      <w:pPr>
        <w:spacing w:after="160"/>
      </w:pPr>
      <w:r>
        <w:t xml:space="preserve">The committee meets at least quarterly, keeps and approves minutes, and may hold special meetings in response to AI incidents.</w:t>
      </w:r>
    </w:p>
    <w:p>
      <w:pPr>
        <w:pStyle w:val="Heading2"/>
      </w:pPr>
      <w:r>
        <w:t xml:space="preserve">5. Responsibilities and duties</w:t>
      </w:r>
    </w:p>
    <w:p>
      <w:pPr>
        <w:spacing w:after="160"/>
      </w:pPr>
      <w:r>
        <w:t xml:space="preserve">The committee: oversees the AI use policy and approved-tools register; reviews the AI inventory and risk assessment; monitors AI incidents and near misses; oversees management's AI strategy and significant AI investments; monitors the regulatory landscape; and ensures the board itself is educated on AI.</w:t>
      </w:r>
    </w:p>
    <w:p>
      <w:pPr>
        <w:pStyle w:val="Heading2"/>
      </w:pPr>
      <w:r>
        <w:t xml:space="preserve">6. Reporting to the board</w:t>
      </w:r>
    </w:p>
    <w:p>
      <w:pPr>
        <w:spacing w:after="160"/>
      </w:pPr>
      <w:r>
        <w:t xml:space="preserve">The committee reports at every regular board meeting, and immediately upon any material AI incident.</w:t>
      </w:r>
    </w:p>
    <w:p>
      <w:pPr>
        <w:pStyle w:val="Heading2"/>
      </w:pPr>
      <w:r>
        <w:t xml:space="preserve">7. Resources and advisors</w:t>
      </w:r>
    </w:p>
    <w:p>
      <w:pPr>
        <w:spacing w:after="160"/>
      </w:pPr>
      <w:r>
        <w:t xml:space="preserve">The committee may retain independent AI, legal, and cybersecurity advisors, with funding approved by the board.</w:t>
      </w:r>
    </w:p>
    <w:p>
      <w:pPr>
        <w:pStyle w:val="Heading2"/>
      </w:pPr>
      <w:r>
        <w:t xml:space="preserve">8. Charter review</w:t>
      </w:r>
    </w:p>
    <w:p>
      <w:pPr>
        <w:spacing w:after="160"/>
      </w:pPr>
      <w:r>
        <w:t xml:space="preserve">This charter is reviewed annually.</w:t>
      </w:r>
    </w:p>
    <w:p>
      <w:pPr>
        <w:spacing w:after="120" w:before="240"/>
      </w:pPr>
      <w:r>
        <w:rPr>
          <w:b/>
          <w:bCs/>
          <w:color w:val="1F5C3F"/>
        </w:rPr>
        <w:t xml:space="preserve">Standing responsibilities calendar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Frequency</w:t>
            </w:r>
          </w:p>
        </w:tc>
        <w:tc>
          <w:tcPr>
            <w:tcW w:type="dxa" w:w="468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Activity</w:t>
            </w:r>
          </w:p>
        </w:tc>
      </w:tr>
      <w:tr>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Every meeting</w:t>
            </w:r>
          </w:p>
        </w:tc>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AI incident and near-miss review; approved-tools register changes</w:t>
            </w:r>
          </w:p>
        </w:tc>
      </w:tr>
      <w:tr>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Quarterly</w:t>
            </w:r>
          </w:p>
        </w:tc>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AI inventory and risk assessment update; management AI report</w:t>
            </w:r>
          </w:p>
        </w:tc>
      </w:tr>
      <w:tr>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Annually</w:t>
            </w:r>
          </w:p>
        </w:tc>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AI use policy review; charter review; board AI education session</w:t>
            </w:r>
          </w:p>
        </w:tc>
      </w:tr>
      <w:tr>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As needed</w:t>
            </w:r>
          </w:p>
        </w:tc>
        <w:tc>
          <w:tcPr>
            <w:tcW w:type="dxa" w:w="468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Review of significant proposed AI investments or deployments</w:t>
            </w:r>
          </w:p>
        </w:tc>
      </w:tr>
    </w:tbl>
    <w:p>
      <w:pPr>
        <w:pStyle w:val="Heading2"/>
      </w:pPr>
      <w:r>
        <w:t xml:space="preserve">Guidance notes</w:t>
      </w:r>
    </w:p>
    <w:p>
      <w:pPr>
        <w:pStyle w:val="ListParagraph"/>
        <w:numPr>
          <w:ilvl w:val="0"/>
          <w:numId w:val="2"/>
        </w:numPr>
      </w:pPr>
      <w:r>
        <w:t xml:space="preserve">For most boards, AI oversight belongs in an existing committee — this charter works as an amendment either way.</w:t>
      </w:r>
    </w:p>
    <w:p>
      <w:pPr>
        <w:pStyle w:val="ListParagraph"/>
        <w:numPr>
          <w:ilvl w:val="0"/>
          <w:numId w:val="2"/>
        </w:numPr>
      </w:pPr>
      <w:r>
        <w:t xml:space="preserve">AI literacy is a composition requirement, not a nice-to-have.</w:t>
      </w:r>
    </w:p>
    <w:p>
      <w:pPr>
        <w:pStyle w:val="ListParagraph"/>
        <w:numPr>
          <w:ilvl w:val="0"/>
          <w:numId w:val="2"/>
        </w:numPr>
      </w:pPr>
      <w:r>
        <w:t xml:space="preserve">The AI inventory is the committee's most important tool.</w:t>
      </w:r>
    </w:p>
    <w:p>
      <w:pPr>
        <w:pStyle w:val="ListParagraph"/>
        <w:numPr>
          <w:ilvl w:val="0"/>
          <w:numId w:val="2"/>
        </w:numPr>
      </w:pPr>
      <w:r>
        <w:t xml:space="preserve">Adopt by board resolution, record in the minutes, and review annually.</w:t>
      </w:r>
    </w:p>
    <w:p>
      <w:r>
        <w:br w:type="page"/>
      </w:r>
    </w:p>
    <w:p>
      <w:pPr>
        <w:spacing w:after="160"/>
      </w:pPr>
      <w:r>
        <w:rPr>
          <w:i/>
          <w:iCs/>
          <w:color w:val="666666"/>
          <w:sz w:val="18"/>
          <w:szCs w:val="18"/>
        </w:rPr>
        <w:t xml:space="preserve">This template is provided by Leonidas Consulting for educational purposes only. It is model language, not legal advice. Have qualified legal counsel review any policy, charter, or assessment before adoption, tailor it to your governing documents, and record formal adoption in your minutes.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color w:val="1F5C3F"/>
      <w:sz w:val="36"/>
      <w:szCs w:val="36"/>
    </w:rPr>
  </w:style>
  <w:style w:type="paragraph" w:styleId="Heading2">
    <w:name w:val="Heading 2"/>
    <w:basedOn w:val="Normal"/>
    <w:next w:val="Normal"/>
    <w:qFormat/>
    <w:pPr>
      <w:spacing w:after="160" w:before="200"/>
      <w:outlineLvl w:val="1"/>
    </w:pPr>
    <w:rPr>
      <w:rFonts w:ascii="Arial" w:cs="Arial" w:eastAsia="Arial" w:hAnsi="Arial"/>
      <w:b/>
      <w:bCs/>
      <w:color w:val="1F5C3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2026-09-27T23:19:12.193Z</dcterms:created>
  <dcterms:modified xsi:type="dcterms:W3CDTF">2026-09-27T23:19:12.193Z</dcterms:modified>
</cp:coreProperties>
</file>

<file path=docProps/custom.xml><?xml version="1.0" encoding="utf-8"?>
<Properties xmlns="http://schemas.openxmlformats.org/officeDocument/2006/custom-properties" xmlns:vt="http://schemas.openxmlformats.org/officeDocument/2006/docPropsVTypes"/>
</file>